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8A294D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ind w:left="-176" w:leftChars="-84" w:firstLine="450" w:firstLineChars="250"/>
        <w:jc w:val="both"/>
        <w:rPr>
          <w:rFonts w:eastAsia="楷体_GB2312"/>
          <w:b/>
          <w:bCs/>
          <w:color w:val="000000"/>
          <w:sz w:val="24"/>
        </w:rPr>
      </w:pPr>
      <w:r>
        <w:rPr>
          <w:rFonts w:hint="eastAsia"/>
          <w:color w:val="000000"/>
        </w:rPr>
        <w:t xml:space="preserve"> </w:t>
      </w:r>
      <w:r>
        <w:rPr>
          <w:rFonts w:hint="eastAsia" w:eastAsia="楷体_GB2312"/>
          <w:b/>
          <w:bCs/>
          <w:color w:val="000000"/>
          <w:sz w:val="24"/>
        </w:rPr>
        <w:t xml:space="preserve">                         </w:t>
      </w:r>
      <w:r>
        <w:rPr>
          <w:rFonts w:eastAsia="楷体_GB2312"/>
          <w:b/>
          <w:color w:val="000000"/>
          <w:sz w:val="24"/>
        </w:rPr>
        <w:drawing>
          <wp:inline distT="0" distB="0" distL="0" distR="0">
            <wp:extent cx="504825" cy="495300"/>
            <wp:effectExtent l="1905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eastAsia="楷体_GB2312"/>
          <w:b/>
          <w:bCs/>
          <w:color w:val="000000"/>
          <w:sz w:val="24"/>
        </w:rPr>
        <w:t xml:space="preserve">    </w:t>
      </w:r>
      <w:r>
        <w:rPr>
          <w:rFonts w:hint="eastAsia" w:eastAsia="楷体_GB2312"/>
          <w:b/>
          <w:bCs/>
          <w:color w:val="000000"/>
          <w:sz w:val="32"/>
          <w:szCs w:val="32"/>
        </w:rPr>
        <w:t>华天科技（昆山）电子有限公司</w:t>
      </w:r>
    </w:p>
    <w:p w14:paraId="745D76B7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ind w:firstLine="3778" w:firstLineChars="1568"/>
        <w:jc w:val="both"/>
        <w:rPr>
          <w:rFonts w:ascii="宋体" w:cs="宋体"/>
          <w:color w:val="000000"/>
          <w:kern w:val="0"/>
          <w:sz w:val="23"/>
          <w:szCs w:val="23"/>
        </w:rPr>
      </w:pPr>
      <w:r>
        <w:rPr>
          <w:rFonts w:hint="eastAsia" w:eastAsia="楷体_GB2312"/>
          <w:b/>
          <w:bCs/>
          <w:color w:val="000000"/>
          <w:sz w:val="24"/>
        </w:rPr>
        <w:t xml:space="preserve">             </w:t>
      </w:r>
      <w:r>
        <w:rPr>
          <w:rFonts w:hint="eastAsia" w:ascii="宋体" w:cs="宋体"/>
          <w:color w:val="000000"/>
          <w:kern w:val="0"/>
          <w:sz w:val="23"/>
          <w:szCs w:val="23"/>
        </w:rPr>
        <w:t>设备仪器验收Check sheet</w:t>
      </w:r>
    </w:p>
    <w:p w14:paraId="3DF71322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ind w:left="-176" w:leftChars="-84"/>
        <w:jc w:val="both"/>
        <w:rPr>
          <w:rFonts w:ascii="宋体" w:cs="宋体"/>
          <w:color w:val="000000"/>
          <w:kern w:val="0"/>
          <w:sz w:val="21"/>
          <w:szCs w:val="21"/>
        </w:rPr>
      </w:pPr>
      <w:r>
        <w:rPr>
          <w:rFonts w:hint="eastAsia" w:ascii="宋体" w:cs="宋体"/>
          <w:color w:val="000000"/>
          <w:kern w:val="0"/>
          <w:sz w:val="21"/>
          <w:szCs w:val="21"/>
        </w:rPr>
        <w:t>设备名称:</w:t>
      </w:r>
      <w:bookmarkStart w:id="0" w:name="OLE_LINK9"/>
      <w:r>
        <w:rPr>
          <w:rFonts w:hint="eastAsia" w:ascii="宋体" w:cs="宋体"/>
          <w:color w:val="000000"/>
          <w:kern w:val="0"/>
        </w:rPr>
        <w:t xml:space="preserve"> </w:t>
      </w:r>
      <w:r>
        <w:rPr>
          <w:rFonts w:hint="eastAsia" w:ascii="宋体" w:cs="宋体"/>
          <w:color w:val="000000"/>
          <w:kern w:val="0"/>
          <w:sz w:val="21"/>
          <w:szCs w:val="21"/>
        </w:rPr>
        <w:t xml:space="preserve">打标机 </w:t>
      </w:r>
      <w:bookmarkEnd w:id="0"/>
      <w:r>
        <w:rPr>
          <w:rFonts w:hint="eastAsia" w:ascii="宋体" w:cs="宋体"/>
          <w:color w:val="000000"/>
          <w:kern w:val="0"/>
          <w:sz w:val="21"/>
          <w:szCs w:val="21"/>
        </w:rPr>
        <w:t xml:space="preserve">                                                                                           </w:t>
      </w:r>
    </w:p>
    <w:tbl>
      <w:tblPr>
        <w:tblStyle w:val="7"/>
        <w:tblW w:w="14601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1701"/>
        <w:gridCol w:w="6549"/>
        <w:gridCol w:w="2569"/>
        <w:gridCol w:w="500"/>
        <w:gridCol w:w="1297"/>
      </w:tblGrid>
      <w:tr w14:paraId="49BF5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</w:tcPr>
          <w:p w14:paraId="4E46F6A1">
            <w:pPr>
              <w:rPr>
                <w:color w:val="000000"/>
              </w:rPr>
            </w:pPr>
          </w:p>
        </w:tc>
        <w:tc>
          <w:tcPr>
            <w:tcW w:w="1701" w:type="dxa"/>
          </w:tcPr>
          <w:p w14:paraId="3AAB0458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检验项目</w:t>
            </w:r>
          </w:p>
        </w:tc>
        <w:tc>
          <w:tcPr>
            <w:tcW w:w="6549" w:type="dxa"/>
          </w:tcPr>
          <w:p w14:paraId="380AAE4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内容及标准</w:t>
            </w:r>
          </w:p>
        </w:tc>
        <w:tc>
          <w:tcPr>
            <w:tcW w:w="2569" w:type="dxa"/>
          </w:tcPr>
          <w:p w14:paraId="55D8ECC6">
            <w:pPr>
              <w:ind w:firstLine="105" w:firstLineChars="5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验收结果</w:t>
            </w:r>
          </w:p>
        </w:tc>
        <w:tc>
          <w:tcPr>
            <w:tcW w:w="500" w:type="dxa"/>
          </w:tcPr>
          <w:p w14:paraId="117BF8C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检验人</w:t>
            </w:r>
          </w:p>
        </w:tc>
        <w:tc>
          <w:tcPr>
            <w:tcW w:w="1297" w:type="dxa"/>
          </w:tcPr>
          <w:p w14:paraId="67859A4A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备注</w:t>
            </w:r>
          </w:p>
        </w:tc>
      </w:tr>
      <w:tr w14:paraId="2E532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</w:tcPr>
          <w:p w14:paraId="022E3E4F">
            <w:pPr>
              <w:rPr>
                <w:color w:val="000000"/>
              </w:rPr>
            </w:pPr>
            <w:bookmarkStart w:id="1" w:name="_Hlk233509128"/>
            <w:bookmarkStart w:id="2" w:name="OLE_LINK2" w:colFirst="1" w:colLast="2"/>
            <w:bookmarkStart w:id="3" w:name="OLE_LINK1" w:colFirst="1" w:colLast="2"/>
          </w:p>
          <w:p w14:paraId="51C69246">
            <w:pPr>
              <w:rPr>
                <w:color w:val="000000"/>
              </w:rPr>
            </w:pPr>
          </w:p>
          <w:p w14:paraId="65764449">
            <w:pPr>
              <w:rPr>
                <w:color w:val="000000"/>
              </w:rPr>
            </w:pPr>
          </w:p>
          <w:p w14:paraId="390F95CB">
            <w:pPr>
              <w:rPr>
                <w:color w:val="000000"/>
              </w:rPr>
            </w:pPr>
          </w:p>
          <w:p w14:paraId="6B2F6E96">
            <w:pPr>
              <w:rPr>
                <w:color w:val="000000"/>
              </w:rPr>
            </w:pPr>
          </w:p>
          <w:p w14:paraId="0F4AECA1">
            <w:pPr>
              <w:rPr>
                <w:color w:val="000000"/>
              </w:rPr>
            </w:pPr>
          </w:p>
          <w:p w14:paraId="54B13BCB">
            <w:pPr>
              <w:rPr>
                <w:color w:val="000000"/>
              </w:rPr>
            </w:pPr>
          </w:p>
          <w:p w14:paraId="20487FDC">
            <w:pPr>
              <w:rPr>
                <w:color w:val="000000"/>
              </w:rPr>
            </w:pPr>
          </w:p>
          <w:p w14:paraId="13346B39">
            <w:pPr>
              <w:rPr>
                <w:color w:val="000000"/>
              </w:rPr>
            </w:pPr>
          </w:p>
          <w:p w14:paraId="3FE60FE2">
            <w:pPr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H</w:t>
            </w:r>
            <w:r>
              <w:rPr>
                <w:color w:val="000000"/>
              </w:rPr>
              <w:t>TM-3052</w:t>
            </w:r>
            <w:r>
              <w:rPr>
                <w:rFonts w:hint="eastAsia"/>
                <w:color w:val="000000"/>
              </w:rPr>
              <w:t>打标机</w:t>
            </w:r>
          </w:p>
          <w:p w14:paraId="79F2C1C4">
            <w:pPr>
              <w:rPr>
                <w:color w:val="000000"/>
              </w:rPr>
            </w:pPr>
          </w:p>
          <w:p w14:paraId="7597418E">
            <w:pPr>
              <w:rPr>
                <w:color w:val="000000"/>
              </w:rPr>
            </w:pPr>
          </w:p>
          <w:p w14:paraId="3200DD2A">
            <w:pPr>
              <w:rPr>
                <w:color w:val="000000"/>
              </w:rPr>
            </w:pPr>
          </w:p>
          <w:p w14:paraId="74B55700">
            <w:pPr>
              <w:rPr>
                <w:color w:val="000000"/>
              </w:rPr>
            </w:pPr>
          </w:p>
          <w:p w14:paraId="5661716F">
            <w:pPr>
              <w:rPr>
                <w:color w:val="000000"/>
              </w:rPr>
            </w:pPr>
          </w:p>
          <w:p w14:paraId="1C3B651B">
            <w:pPr>
              <w:rPr>
                <w:color w:val="000000"/>
              </w:rPr>
            </w:pPr>
          </w:p>
          <w:p w14:paraId="688DD03E">
            <w:pPr>
              <w:rPr>
                <w:color w:val="000000"/>
              </w:rPr>
            </w:pPr>
          </w:p>
          <w:p w14:paraId="5D1D59D2">
            <w:pPr>
              <w:rPr>
                <w:color w:val="000000"/>
              </w:rPr>
            </w:pPr>
          </w:p>
          <w:p w14:paraId="4EBFA8AE">
            <w:pPr>
              <w:rPr>
                <w:color w:val="000000"/>
              </w:rPr>
            </w:pPr>
          </w:p>
          <w:p w14:paraId="4525B0D8">
            <w:pPr>
              <w:rPr>
                <w:color w:val="000000"/>
              </w:rPr>
            </w:pPr>
          </w:p>
          <w:p w14:paraId="0380788C">
            <w:pPr>
              <w:rPr>
                <w:color w:val="000000"/>
              </w:rPr>
            </w:pPr>
          </w:p>
          <w:p w14:paraId="283490E9">
            <w:pPr>
              <w:rPr>
                <w:color w:val="000000"/>
              </w:rPr>
            </w:pPr>
          </w:p>
          <w:p w14:paraId="4C8867BA">
            <w:pPr>
              <w:rPr>
                <w:color w:val="000000"/>
              </w:rPr>
            </w:pPr>
          </w:p>
          <w:p w14:paraId="64696E31">
            <w:pPr>
              <w:rPr>
                <w:color w:val="000000"/>
              </w:rPr>
            </w:pPr>
          </w:p>
          <w:p w14:paraId="4CB46EA5">
            <w:pPr>
              <w:rPr>
                <w:color w:val="000000"/>
              </w:rPr>
            </w:pPr>
          </w:p>
          <w:p w14:paraId="4DF1372B">
            <w:pPr>
              <w:rPr>
                <w:color w:val="000000"/>
              </w:rPr>
            </w:pPr>
          </w:p>
          <w:p w14:paraId="0AE3C1E4">
            <w:pPr>
              <w:rPr>
                <w:color w:val="000000"/>
              </w:rPr>
            </w:pPr>
          </w:p>
          <w:p w14:paraId="6FFBC4EE">
            <w:pPr>
              <w:rPr>
                <w:color w:val="000000"/>
              </w:rPr>
            </w:pPr>
          </w:p>
          <w:p w14:paraId="3DB7B461">
            <w:pPr>
              <w:rPr>
                <w:rFonts w:hint="eastAsia"/>
                <w:color w:val="000000"/>
              </w:rPr>
            </w:pPr>
          </w:p>
        </w:tc>
        <w:tc>
          <w:tcPr>
            <w:tcW w:w="1701" w:type="dxa"/>
            <w:vAlign w:val="center"/>
          </w:tcPr>
          <w:p w14:paraId="21A103F7">
            <w:pPr>
              <w:jc w:val="center"/>
            </w:pPr>
            <w:r>
              <w:rPr>
                <w:rFonts w:hint="eastAsia"/>
              </w:rPr>
              <w:t>软件优化</w:t>
            </w:r>
          </w:p>
        </w:tc>
        <w:tc>
          <w:tcPr>
            <w:tcW w:w="6549" w:type="dxa"/>
          </w:tcPr>
          <w:p w14:paraId="069BAA50">
            <w:pPr>
              <w:pStyle w:val="6"/>
              <w:spacing w:before="0" w:beforeAutospacing="0" w:after="0" w:afterAutospacing="0"/>
              <w:rPr>
                <w:rFonts w:ascii="微软雅黑" w:hAnsi="微软雅黑" w:eastAsia="微软雅黑"/>
                <w:color w:val="000000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  <w:r>
              <w:rPr>
                <w:rFonts w:hint="eastAsia"/>
                <w:color w:val="000000"/>
                <w:sz w:val="21"/>
                <w:szCs w:val="21"/>
              </w:rPr>
              <w:t>.设备软件具有自动log out功能：可以设定时间，在设定时间内，软件需要自动退出登录权限，再需要界面操作必须先log in（此功能适用于软件OP/EE/PE/OEM所有权限）；</w:t>
            </w:r>
          </w:p>
          <w:p w14:paraId="3AE111FA">
            <w:pPr>
              <w:pStyle w:val="6"/>
              <w:spacing w:before="0" w:beforeAutospacing="0" w:after="0" w:afterAutospacing="0"/>
              <w:rPr>
                <w:rFonts w:hint="eastAsia" w:ascii="微软雅黑" w:hAnsi="微软雅黑" w:eastAsia="微软雅黑"/>
                <w:color w:val="000000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2.机台所有Config/recipe设置需要有范围提示（min--max）</w:t>
            </w:r>
          </w:p>
          <w:p w14:paraId="7E5532D6">
            <w:pPr>
              <w:pStyle w:val="6"/>
              <w:spacing w:before="0" w:beforeAutospacing="0" w:after="0" w:afterAutospacing="0"/>
              <w:rPr>
                <w:rFonts w:hint="eastAsia" w:ascii="微软雅黑" w:hAnsi="微软雅黑" w:eastAsia="微软雅黑"/>
                <w:color w:val="000000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3.机台报警区分warning和alarm功能，并有相应的报警机制，可设置区分事件等级。</w:t>
            </w:r>
          </w:p>
          <w:p w14:paraId="2C77FF31">
            <w:pPr>
              <w:pStyle w:val="6"/>
              <w:spacing w:before="0" w:beforeAutospacing="0" w:after="0" w:afterAutospacing="0"/>
              <w:rPr>
                <w:rFonts w:hint="eastAsia" w:ascii="微软雅黑" w:hAnsi="微软雅黑" w:eastAsia="微软雅黑"/>
                <w:color w:val="000000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4.非工程权限下EAP锁定，人员无法手动作业，只能EAP作业</w:t>
            </w:r>
          </w:p>
          <w:p w14:paraId="0C11D431">
            <w:pPr>
              <w:pStyle w:val="6"/>
              <w:spacing w:before="0" w:beforeAutospacing="0" w:after="0" w:afterAutospacing="0"/>
              <w:rPr>
                <w:rFonts w:hint="eastAsia" w:ascii="微软雅黑" w:hAnsi="微软雅黑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5.Mark相似度可以设定为公共参数，也可以单个机种自由设定，左右两个Mark可以使不同图形，分别管理比对</w:t>
            </w: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。</w:t>
            </w:r>
          </w:p>
          <w:p w14:paraId="3AE8E1D4">
            <w:pPr>
              <w:pStyle w:val="6"/>
              <w:spacing w:before="0" w:beforeAutospacing="0" w:after="0" w:afterAutospacing="0"/>
              <w:rPr>
                <w:rFonts w:hint="eastAsia" w:ascii="微软雅黑" w:hAnsi="微软雅黑" w:eastAsia="微软雅黑"/>
                <w:color w:val="000000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6.根据Mapping指定位置或区域进行打标作业，可以根据读取Map不同die打不同的字符</w:t>
            </w:r>
          </w:p>
          <w:p w14:paraId="33C1A3A8">
            <w:pPr>
              <w:pStyle w:val="6"/>
              <w:spacing w:before="0" w:beforeAutospacing="0" w:after="0" w:afterAutospacing="0"/>
              <w:rPr>
                <w:rFonts w:hint="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7.根据现有的MARK点选取光源及CCD，影像系统能够升级，可对Mark点进行软件修复，已做到对异常mark的自我修复功能，如：Mark缺损，边缘锯齿等。</w:t>
            </w: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b/>
                <w:bCs/>
                <w:color w:val="FF0000"/>
                <w:sz w:val="21"/>
                <w:szCs w:val="21"/>
                <w:lang w:val="en-US" w:eastAsia="zh-CN"/>
              </w:rPr>
              <w:t>解决方法：自我修复无法做到，如果mark点是在固定地方确实，可以优化模板，忽略掉固定部分。如果缺失比较大，可以针对现有情况，重新做模板</w:t>
            </w: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）</w:t>
            </w:r>
          </w:p>
          <w:p w14:paraId="4374F6C2">
            <w:pPr>
              <w:pStyle w:val="6"/>
              <w:spacing w:before="0" w:beforeAutospacing="0" w:after="0" w:afterAutospacing="0"/>
              <w:rPr>
                <w:rFonts w:hint="eastAsia"/>
                <w:color w:val="000000"/>
                <w:sz w:val="21"/>
                <w:szCs w:val="21"/>
                <w:lang w:eastAsia="zh-CN"/>
              </w:rPr>
            </w:pPr>
          </w:p>
          <w:p w14:paraId="3D445A29">
            <w:pPr>
              <w:pStyle w:val="6"/>
              <w:spacing w:before="0" w:beforeAutospacing="0" w:after="0" w:afterAutospacing="0"/>
              <w:rPr>
                <w:rFonts w:hint="eastAsia" w:ascii="微软雅黑" w:hAnsi="微软雅黑" w:eastAsia="微软雅黑"/>
                <w:color w:val="000000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8.整版打标无需再次CCD对位，若有再次对位，需对比两次坐标差异，若差异超过5um/1°则报警提示无法作业。</w:t>
            </w:r>
          </w:p>
          <w:p w14:paraId="295358DD">
            <w:pPr>
              <w:pStyle w:val="6"/>
              <w:spacing w:before="0" w:beforeAutospacing="0" w:after="0" w:afterAutospacing="0"/>
              <w:rPr>
                <w:rFonts w:hint="eastAsia" w:ascii="微软雅黑" w:hAnsi="微软雅黑" w:eastAsia="微软雅黑"/>
                <w:color w:val="000000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9.设备软件或硬件需具备Offset功能，以解决Wafer上不规则的打标偏移现象</w:t>
            </w:r>
          </w:p>
          <w:p w14:paraId="72D20D79">
            <w:pPr>
              <w:pStyle w:val="6"/>
              <w:spacing w:before="0" w:beforeAutospacing="0" w:after="0" w:afterAutospacing="0"/>
              <w:rPr>
                <w:rFonts w:hint="eastAsia" w:ascii="微软雅黑" w:hAnsi="微软雅黑" w:eastAsia="微软雅黑"/>
                <w:color w:val="000000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10.即根据产品芯片的数量，机器可根据设定打出流水字符；列如：00001~99999  可自由设定字符数量，如字符位数超出现有设定位数则报警提示，无法作业。若超出字符位数，多余的流水码可自动加入字母进行重新排版</w:t>
            </w:r>
          </w:p>
          <w:p w14:paraId="4E1841F8">
            <w:pPr>
              <w:pStyle w:val="6"/>
              <w:spacing w:before="0" w:beforeAutospacing="0" w:after="0" w:afterAutospacing="0"/>
              <w:rPr>
                <w:rFonts w:hint="eastAsia" w:ascii="微软雅黑" w:hAnsi="微软雅黑" w:eastAsia="微软雅黑"/>
                <w:color w:val="000000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11.打标完成后可以手动导出流水码Map，TXT或EXL格式。</w:t>
            </w:r>
          </w:p>
          <w:p w14:paraId="345B8D20">
            <w:pPr>
              <w:pStyle w:val="6"/>
              <w:spacing w:before="0" w:beforeAutospacing="0" w:after="0" w:afterAutospacing="0"/>
              <w:rPr>
                <w:rFonts w:hint="eastAsia" w:ascii="微软雅黑" w:hAnsi="微软雅黑" w:eastAsia="微软雅黑"/>
                <w:color w:val="000000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12.若机台维修或保养导致有偏移现象，可以通过调试公共参数补偿所有，不需要单个程式调试</w:t>
            </w:r>
          </w:p>
          <w:p w14:paraId="4A255FB4">
            <w:pPr>
              <w:pStyle w:val="6"/>
              <w:spacing w:before="0" w:beforeAutospacing="0" w:after="0" w:afterAutospacing="0"/>
              <w:rPr>
                <w:rFonts w:hint="eastAsia" w:ascii="微软雅黑" w:hAnsi="微软雅黑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13.CCD具备可调聚焦功能，对同一机种的产品无须再次调焦或改变光源强度就能连续作业</w:t>
            </w: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b/>
                <w:bCs/>
                <w:color w:val="FF0000"/>
                <w:sz w:val="21"/>
                <w:szCs w:val="21"/>
                <w:lang w:val="en-US" w:eastAsia="zh-CN"/>
              </w:rPr>
              <w:t>解决方法:增加固定焦距点，其他产品根据产品厚度配置即可，不需要自动调整焦距</w:t>
            </w: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）</w:t>
            </w:r>
          </w:p>
          <w:p w14:paraId="2242DC09">
            <w:pPr>
              <w:pStyle w:val="6"/>
              <w:spacing w:before="0" w:beforeAutospacing="0" w:after="0" w:afterAutospacing="0"/>
              <w:rPr>
                <w:rFonts w:hint="eastAsia" w:ascii="微软雅黑" w:hAnsi="微软雅黑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14.软件不能出现卡机异常</w:t>
            </w: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b/>
                <w:bCs/>
                <w:color w:val="FF0000"/>
                <w:sz w:val="21"/>
                <w:szCs w:val="21"/>
                <w:lang w:val="en-US" w:eastAsia="zh-CN"/>
              </w:rPr>
              <w:t>解决方法：升级成最新软件</w:t>
            </w: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）</w:t>
            </w:r>
          </w:p>
          <w:p w14:paraId="63FA365D">
            <w:pPr>
              <w:jc w:val="left"/>
            </w:pPr>
          </w:p>
        </w:tc>
        <w:tc>
          <w:tcPr>
            <w:tcW w:w="2569" w:type="dxa"/>
          </w:tcPr>
          <w:p w14:paraId="4E33CED3">
            <w:pPr>
              <w:numPr>
                <w:ilvl w:val="0"/>
                <w:numId w:val="1"/>
              </w:numPr>
              <w:rPr>
                <w:rFonts w:hint="eastAsia"/>
                <w:b/>
                <w:bCs/>
                <w:color w:val="FF0000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lang w:val="en-US" w:eastAsia="zh-CN"/>
              </w:rPr>
              <w:t>完成</w:t>
            </w:r>
          </w:p>
          <w:p w14:paraId="77BB0F15">
            <w:pPr>
              <w:numPr>
                <w:ilvl w:val="0"/>
                <w:numId w:val="1"/>
              </w:numPr>
              <w:rPr>
                <w:rFonts w:hint="default"/>
                <w:b/>
                <w:bCs/>
                <w:color w:val="FF0000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lang w:val="en-US" w:eastAsia="zh-CN"/>
              </w:rPr>
              <w:t>完成</w:t>
            </w:r>
          </w:p>
          <w:p w14:paraId="7ACE65AE">
            <w:pPr>
              <w:numPr>
                <w:ilvl w:val="0"/>
                <w:numId w:val="1"/>
              </w:numPr>
              <w:rPr>
                <w:rFonts w:hint="default"/>
                <w:b/>
                <w:bCs/>
                <w:color w:val="FF0000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lang w:val="en-US" w:eastAsia="zh-CN"/>
              </w:rPr>
              <w:t>完成</w:t>
            </w:r>
          </w:p>
          <w:p w14:paraId="16604624">
            <w:pPr>
              <w:numPr>
                <w:ilvl w:val="0"/>
                <w:numId w:val="1"/>
              </w:numPr>
              <w:rPr>
                <w:rFonts w:hint="default"/>
                <w:b/>
                <w:bCs/>
                <w:color w:val="FF0000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lang w:val="en-US" w:eastAsia="zh-CN"/>
              </w:rPr>
              <w:t>待确认</w:t>
            </w:r>
          </w:p>
          <w:p w14:paraId="7D4A403D">
            <w:pPr>
              <w:numPr>
                <w:ilvl w:val="0"/>
                <w:numId w:val="1"/>
              </w:numPr>
              <w:rPr>
                <w:rFonts w:hint="default"/>
                <w:b/>
                <w:bCs/>
                <w:color w:val="FF0000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lang w:val="en-US" w:eastAsia="zh-CN"/>
              </w:rPr>
              <w:t>完成，相似度必须达到80%，不能作为参数</w:t>
            </w:r>
          </w:p>
          <w:p w14:paraId="6B7CBEE0">
            <w:pPr>
              <w:numPr>
                <w:ilvl w:val="0"/>
                <w:numId w:val="1"/>
              </w:numPr>
              <w:rPr>
                <w:rFonts w:hint="default"/>
                <w:b/>
                <w:bCs/>
                <w:color w:val="FF0000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lang w:val="en-US" w:eastAsia="zh-CN"/>
              </w:rPr>
              <w:t>完成</w:t>
            </w:r>
          </w:p>
          <w:p w14:paraId="537F48F7">
            <w:pPr>
              <w:numPr>
                <w:ilvl w:val="0"/>
                <w:numId w:val="1"/>
              </w:numPr>
              <w:rPr>
                <w:rFonts w:hint="default"/>
                <w:b/>
                <w:bCs/>
                <w:color w:val="FF0000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lang w:val="en-US" w:eastAsia="zh-CN"/>
              </w:rPr>
              <w:t>完成，优化相机模板</w:t>
            </w:r>
          </w:p>
          <w:p w14:paraId="169C623C">
            <w:pPr>
              <w:numPr>
                <w:ilvl w:val="0"/>
                <w:numId w:val="1"/>
              </w:numPr>
              <w:rPr>
                <w:rFonts w:hint="default"/>
                <w:b/>
                <w:bCs/>
                <w:color w:val="FF0000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lang w:val="en-US" w:eastAsia="zh-CN"/>
              </w:rPr>
              <w:t>待确认</w:t>
            </w:r>
          </w:p>
          <w:p w14:paraId="489CFC7A">
            <w:pPr>
              <w:numPr>
                <w:ilvl w:val="0"/>
                <w:numId w:val="1"/>
              </w:numPr>
              <w:rPr>
                <w:rFonts w:hint="default"/>
                <w:b/>
                <w:bCs/>
                <w:color w:val="FF0000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lang w:val="en-US" w:eastAsia="zh-CN"/>
              </w:rPr>
              <w:t>完成</w:t>
            </w:r>
            <w:bookmarkStart w:id="4" w:name="_GoBack"/>
            <w:bookmarkEnd w:id="4"/>
          </w:p>
        </w:tc>
        <w:tc>
          <w:tcPr>
            <w:tcW w:w="500" w:type="dxa"/>
          </w:tcPr>
          <w:p w14:paraId="0EF145A9"/>
        </w:tc>
        <w:tc>
          <w:tcPr>
            <w:tcW w:w="1297" w:type="dxa"/>
          </w:tcPr>
          <w:p w14:paraId="44EDCB68"/>
        </w:tc>
      </w:tr>
      <w:bookmarkEnd w:id="1"/>
      <w:bookmarkEnd w:id="2"/>
      <w:bookmarkEnd w:id="3"/>
      <w:tr w14:paraId="5FF4D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</w:trPr>
        <w:tc>
          <w:tcPr>
            <w:tcW w:w="1985" w:type="dxa"/>
          </w:tcPr>
          <w:p w14:paraId="1BEF58E9">
            <w:pPr>
              <w:rPr>
                <w:color w:val="000000"/>
              </w:rPr>
            </w:pPr>
          </w:p>
        </w:tc>
        <w:tc>
          <w:tcPr>
            <w:tcW w:w="1701" w:type="dxa"/>
          </w:tcPr>
          <w:p w14:paraId="1B885A3C">
            <w:pPr>
              <w:jc w:val="left"/>
              <w:rPr>
                <w:color w:val="000000"/>
              </w:rPr>
            </w:pPr>
          </w:p>
        </w:tc>
        <w:tc>
          <w:tcPr>
            <w:tcW w:w="6549" w:type="dxa"/>
          </w:tcPr>
          <w:p w14:paraId="2E2D6F47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569" w:type="dxa"/>
          </w:tcPr>
          <w:p w14:paraId="1C70EC89">
            <w:pPr>
              <w:jc w:val="center"/>
            </w:pPr>
          </w:p>
        </w:tc>
        <w:tc>
          <w:tcPr>
            <w:tcW w:w="500" w:type="dxa"/>
          </w:tcPr>
          <w:p w14:paraId="65F31C9E">
            <w:pPr>
              <w:jc w:val="center"/>
            </w:pPr>
          </w:p>
        </w:tc>
        <w:tc>
          <w:tcPr>
            <w:tcW w:w="1297" w:type="dxa"/>
          </w:tcPr>
          <w:p w14:paraId="05591193"/>
        </w:tc>
      </w:tr>
    </w:tbl>
    <w:p w14:paraId="17B5EA8B">
      <w:pPr>
        <w:rPr>
          <w:color w:val="000000"/>
        </w:rPr>
      </w:pPr>
      <w:r>
        <w:rPr>
          <w:rFonts w:hint="eastAsia"/>
          <w:color w:val="000000"/>
        </w:rPr>
        <w:t>核准:                                        审核:                                           制表:</w:t>
      </w:r>
    </w:p>
    <w:p w14:paraId="3162B741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jc w:val="both"/>
        <w:rPr>
          <w:rFonts w:hint="eastAsia" w:eastAsia="楷体_GB2312"/>
          <w:b/>
          <w:bCs/>
          <w:color w:val="000000"/>
          <w:sz w:val="24"/>
        </w:rPr>
      </w:pPr>
    </w:p>
    <w:p w14:paraId="74BF6ED3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jc w:val="both"/>
        <w:rPr>
          <w:rFonts w:eastAsia="楷体_GB2312"/>
          <w:b/>
          <w:bCs/>
          <w:color w:val="000000"/>
          <w:sz w:val="24"/>
        </w:rPr>
      </w:pPr>
    </w:p>
    <w:p w14:paraId="3B22E1C7">
      <w:pPr>
        <w:pStyle w:val="5"/>
        <w:pBdr>
          <w:bottom w:val="none" w:color="auto" w:sz="0" w:space="0"/>
        </w:pBdr>
        <w:tabs>
          <w:tab w:val="right" w:pos="9540"/>
          <w:tab w:val="clear" w:pos="4153"/>
          <w:tab w:val="clear" w:pos="8306"/>
        </w:tabs>
        <w:ind w:left="-176" w:leftChars="-84" w:firstLine="3012" w:firstLineChars="1250"/>
        <w:jc w:val="both"/>
        <w:rPr>
          <w:color w:val="000000"/>
        </w:rPr>
      </w:pPr>
      <w:r>
        <w:rPr>
          <w:rFonts w:hint="eastAsia" w:eastAsia="楷体_GB2312"/>
          <w:b/>
          <w:bCs/>
          <w:color w:val="000000"/>
          <w:sz w:val="24"/>
        </w:rPr>
        <w:t xml:space="preserve">  </w:t>
      </w:r>
    </w:p>
    <w:sectPr>
      <w:footerReference r:id="rId3" w:type="default"/>
      <w:footerReference r:id="rId4" w:type="even"/>
      <w:pgSz w:w="16838" w:h="11906" w:orient="landscape"/>
      <w:pgMar w:top="284" w:right="1440" w:bottom="1869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6AB63D">
    <w:pPr>
      <w:pStyle w:val="4"/>
      <w:framePr w:wrap="around" w:vAnchor="text" w:hAnchor="margin" w:xAlign="right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</w:rPr>
      <w:t>1</w:t>
    </w:r>
    <w:r>
      <w:fldChar w:fldCharType="end"/>
    </w:r>
  </w:p>
  <w:p w14:paraId="698A0419">
    <w:pPr>
      <w:ind w:right="400"/>
      <w:jc w:val="center"/>
      <w:rPr>
        <w:rFonts w:ascii="宋体" w:hAnsi="宋体" w:cs="宋体"/>
        <w:sz w:val="20"/>
        <w:szCs w:val="20"/>
      </w:rPr>
    </w:pPr>
    <w:r>
      <w:rPr>
        <w:rFonts w:hint="eastAsia"/>
        <w:sz w:val="20"/>
        <w:szCs w:val="20"/>
      </w:rPr>
      <w:t xml:space="preserve">       表单编号：QT-FM-ENG-100014               版本：A2              生效日期：2014-5-21</w:t>
    </w:r>
  </w:p>
  <w:p w14:paraId="657DD149">
    <w:pPr>
      <w:pStyle w:val="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1CD4FB">
    <w:pPr>
      <w:pStyle w:val="4"/>
      <w:framePr w:wrap="around" w:vAnchor="text" w:hAnchor="margin" w:xAlign="right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end"/>
    </w:r>
  </w:p>
  <w:p w14:paraId="5043F428">
    <w:pPr>
      <w:pStyle w:val="4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ED4C921"/>
    <w:multiLevelType w:val="singleLevel"/>
    <w:tmpl w:val="EED4C92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AD0"/>
    <w:rsid w:val="000003E5"/>
    <w:rsid w:val="00003FAF"/>
    <w:rsid w:val="00007240"/>
    <w:rsid w:val="00007414"/>
    <w:rsid w:val="00012C83"/>
    <w:rsid w:val="000175DD"/>
    <w:rsid w:val="00025DF0"/>
    <w:rsid w:val="00031A21"/>
    <w:rsid w:val="000402E1"/>
    <w:rsid w:val="0004799E"/>
    <w:rsid w:val="0005083F"/>
    <w:rsid w:val="00061BD2"/>
    <w:rsid w:val="000A3A84"/>
    <w:rsid w:val="000A5AC9"/>
    <w:rsid w:val="000A65F9"/>
    <w:rsid w:val="000B046E"/>
    <w:rsid w:val="000B20D4"/>
    <w:rsid w:val="000E79F0"/>
    <w:rsid w:val="000F41C5"/>
    <w:rsid w:val="00123EF6"/>
    <w:rsid w:val="00126833"/>
    <w:rsid w:val="00132F4E"/>
    <w:rsid w:val="001515DC"/>
    <w:rsid w:val="00163F9C"/>
    <w:rsid w:val="00167F55"/>
    <w:rsid w:val="001758C9"/>
    <w:rsid w:val="001775D9"/>
    <w:rsid w:val="001A14C6"/>
    <w:rsid w:val="001A22C8"/>
    <w:rsid w:val="001B6C86"/>
    <w:rsid w:val="001B788D"/>
    <w:rsid w:val="001D6C3C"/>
    <w:rsid w:val="001E6CC3"/>
    <w:rsid w:val="001E7E52"/>
    <w:rsid w:val="001F0176"/>
    <w:rsid w:val="00201D9F"/>
    <w:rsid w:val="00207633"/>
    <w:rsid w:val="002249A3"/>
    <w:rsid w:val="0023125A"/>
    <w:rsid w:val="0023534A"/>
    <w:rsid w:val="002403B4"/>
    <w:rsid w:val="00251804"/>
    <w:rsid w:val="00273D68"/>
    <w:rsid w:val="00280FFA"/>
    <w:rsid w:val="00290D25"/>
    <w:rsid w:val="002B2FEE"/>
    <w:rsid w:val="002C6CDF"/>
    <w:rsid w:val="002C7A14"/>
    <w:rsid w:val="002D0795"/>
    <w:rsid w:val="002D410D"/>
    <w:rsid w:val="002E51A1"/>
    <w:rsid w:val="002F114D"/>
    <w:rsid w:val="002F349D"/>
    <w:rsid w:val="002F79B0"/>
    <w:rsid w:val="00302E2E"/>
    <w:rsid w:val="00311BFA"/>
    <w:rsid w:val="003648A0"/>
    <w:rsid w:val="00371E51"/>
    <w:rsid w:val="00384CE5"/>
    <w:rsid w:val="00384F7A"/>
    <w:rsid w:val="003A3234"/>
    <w:rsid w:val="003C7311"/>
    <w:rsid w:val="003D5917"/>
    <w:rsid w:val="003D7451"/>
    <w:rsid w:val="003E497E"/>
    <w:rsid w:val="003E7941"/>
    <w:rsid w:val="00400219"/>
    <w:rsid w:val="004171C2"/>
    <w:rsid w:val="00420235"/>
    <w:rsid w:val="00421B86"/>
    <w:rsid w:val="00422C37"/>
    <w:rsid w:val="00426103"/>
    <w:rsid w:val="004419BE"/>
    <w:rsid w:val="0044577F"/>
    <w:rsid w:val="00446CF6"/>
    <w:rsid w:val="00470122"/>
    <w:rsid w:val="0047295D"/>
    <w:rsid w:val="00475F28"/>
    <w:rsid w:val="00480AE7"/>
    <w:rsid w:val="0048360F"/>
    <w:rsid w:val="00487974"/>
    <w:rsid w:val="004B76FB"/>
    <w:rsid w:val="004C08F7"/>
    <w:rsid w:val="004C6384"/>
    <w:rsid w:val="004D01CD"/>
    <w:rsid w:val="004E4FE5"/>
    <w:rsid w:val="004E59CD"/>
    <w:rsid w:val="004F2493"/>
    <w:rsid w:val="004F30C7"/>
    <w:rsid w:val="00500AD6"/>
    <w:rsid w:val="005019FF"/>
    <w:rsid w:val="005057E6"/>
    <w:rsid w:val="005157C3"/>
    <w:rsid w:val="005355D4"/>
    <w:rsid w:val="00536C5B"/>
    <w:rsid w:val="0053771A"/>
    <w:rsid w:val="00546547"/>
    <w:rsid w:val="00560B76"/>
    <w:rsid w:val="00567EE1"/>
    <w:rsid w:val="00571303"/>
    <w:rsid w:val="005823E8"/>
    <w:rsid w:val="00582876"/>
    <w:rsid w:val="005A404B"/>
    <w:rsid w:val="005A7111"/>
    <w:rsid w:val="005B0FA6"/>
    <w:rsid w:val="005B3FDD"/>
    <w:rsid w:val="005C4ACF"/>
    <w:rsid w:val="005D1220"/>
    <w:rsid w:val="006041EF"/>
    <w:rsid w:val="00607BA7"/>
    <w:rsid w:val="00616ED4"/>
    <w:rsid w:val="00632EE4"/>
    <w:rsid w:val="00665EFF"/>
    <w:rsid w:val="00671F4F"/>
    <w:rsid w:val="00673E63"/>
    <w:rsid w:val="00680698"/>
    <w:rsid w:val="00685B6C"/>
    <w:rsid w:val="00692FC8"/>
    <w:rsid w:val="006A0D69"/>
    <w:rsid w:val="006A53B4"/>
    <w:rsid w:val="006C46FD"/>
    <w:rsid w:val="006C6C7A"/>
    <w:rsid w:val="006D5A8F"/>
    <w:rsid w:val="006E07AD"/>
    <w:rsid w:val="006E6A19"/>
    <w:rsid w:val="006E72D8"/>
    <w:rsid w:val="007020A7"/>
    <w:rsid w:val="00704593"/>
    <w:rsid w:val="00712311"/>
    <w:rsid w:val="00723170"/>
    <w:rsid w:val="00723CCA"/>
    <w:rsid w:val="00724869"/>
    <w:rsid w:val="00730155"/>
    <w:rsid w:val="007411A6"/>
    <w:rsid w:val="00742A95"/>
    <w:rsid w:val="0078569A"/>
    <w:rsid w:val="00797AFB"/>
    <w:rsid w:val="007C2204"/>
    <w:rsid w:val="007C2454"/>
    <w:rsid w:val="007D0432"/>
    <w:rsid w:val="007E41E1"/>
    <w:rsid w:val="007E6AF4"/>
    <w:rsid w:val="007F3851"/>
    <w:rsid w:val="007F41B0"/>
    <w:rsid w:val="007F4A01"/>
    <w:rsid w:val="00805369"/>
    <w:rsid w:val="00814AD0"/>
    <w:rsid w:val="00817512"/>
    <w:rsid w:val="00821895"/>
    <w:rsid w:val="00833FE5"/>
    <w:rsid w:val="00843941"/>
    <w:rsid w:val="00847FAA"/>
    <w:rsid w:val="00872302"/>
    <w:rsid w:val="008771E7"/>
    <w:rsid w:val="00881A06"/>
    <w:rsid w:val="008935A0"/>
    <w:rsid w:val="008A74DD"/>
    <w:rsid w:val="008A7974"/>
    <w:rsid w:val="008B05A8"/>
    <w:rsid w:val="008B4DB9"/>
    <w:rsid w:val="008D09E8"/>
    <w:rsid w:val="008D250F"/>
    <w:rsid w:val="008D6562"/>
    <w:rsid w:val="008F690F"/>
    <w:rsid w:val="00901E04"/>
    <w:rsid w:val="00910728"/>
    <w:rsid w:val="00910F69"/>
    <w:rsid w:val="00925AB6"/>
    <w:rsid w:val="00962D76"/>
    <w:rsid w:val="00962DD3"/>
    <w:rsid w:val="00963735"/>
    <w:rsid w:val="00964F9B"/>
    <w:rsid w:val="00965749"/>
    <w:rsid w:val="00966D7E"/>
    <w:rsid w:val="0098001B"/>
    <w:rsid w:val="0098645D"/>
    <w:rsid w:val="00990C55"/>
    <w:rsid w:val="009B5B36"/>
    <w:rsid w:val="009B7F11"/>
    <w:rsid w:val="009E0988"/>
    <w:rsid w:val="009E42D1"/>
    <w:rsid w:val="009E6E44"/>
    <w:rsid w:val="009F02F4"/>
    <w:rsid w:val="00A018CF"/>
    <w:rsid w:val="00A02717"/>
    <w:rsid w:val="00A23E90"/>
    <w:rsid w:val="00A24921"/>
    <w:rsid w:val="00A271C0"/>
    <w:rsid w:val="00A312FA"/>
    <w:rsid w:val="00A6757D"/>
    <w:rsid w:val="00A70120"/>
    <w:rsid w:val="00A74484"/>
    <w:rsid w:val="00A77033"/>
    <w:rsid w:val="00A91A7C"/>
    <w:rsid w:val="00A965B9"/>
    <w:rsid w:val="00AA5B96"/>
    <w:rsid w:val="00AA63BD"/>
    <w:rsid w:val="00AA78BE"/>
    <w:rsid w:val="00AC6B8B"/>
    <w:rsid w:val="00AD310D"/>
    <w:rsid w:val="00AD5FD8"/>
    <w:rsid w:val="00AF6587"/>
    <w:rsid w:val="00B03E9A"/>
    <w:rsid w:val="00B07089"/>
    <w:rsid w:val="00B163C7"/>
    <w:rsid w:val="00B2273C"/>
    <w:rsid w:val="00B22979"/>
    <w:rsid w:val="00B25893"/>
    <w:rsid w:val="00B32553"/>
    <w:rsid w:val="00B33D9C"/>
    <w:rsid w:val="00B35207"/>
    <w:rsid w:val="00B44BF9"/>
    <w:rsid w:val="00B45823"/>
    <w:rsid w:val="00B5033B"/>
    <w:rsid w:val="00B5125C"/>
    <w:rsid w:val="00B51DA6"/>
    <w:rsid w:val="00B526DE"/>
    <w:rsid w:val="00B532B7"/>
    <w:rsid w:val="00B6702E"/>
    <w:rsid w:val="00B7118F"/>
    <w:rsid w:val="00B729E0"/>
    <w:rsid w:val="00B76076"/>
    <w:rsid w:val="00B963F6"/>
    <w:rsid w:val="00B96BE2"/>
    <w:rsid w:val="00BA08A7"/>
    <w:rsid w:val="00BB3BBF"/>
    <w:rsid w:val="00BD26CA"/>
    <w:rsid w:val="00BD4730"/>
    <w:rsid w:val="00BE09A9"/>
    <w:rsid w:val="00BE12B1"/>
    <w:rsid w:val="00BF5389"/>
    <w:rsid w:val="00BF6A43"/>
    <w:rsid w:val="00C01ED3"/>
    <w:rsid w:val="00C175E4"/>
    <w:rsid w:val="00C236AC"/>
    <w:rsid w:val="00C26CC1"/>
    <w:rsid w:val="00C354DB"/>
    <w:rsid w:val="00C45750"/>
    <w:rsid w:val="00C6253E"/>
    <w:rsid w:val="00C666D5"/>
    <w:rsid w:val="00C74492"/>
    <w:rsid w:val="00C7769F"/>
    <w:rsid w:val="00C81B94"/>
    <w:rsid w:val="00C8511C"/>
    <w:rsid w:val="00C85AF5"/>
    <w:rsid w:val="00CA15C5"/>
    <w:rsid w:val="00CD0EAA"/>
    <w:rsid w:val="00CF5A80"/>
    <w:rsid w:val="00CF6B82"/>
    <w:rsid w:val="00D05D80"/>
    <w:rsid w:val="00D108CF"/>
    <w:rsid w:val="00D233E0"/>
    <w:rsid w:val="00D2546E"/>
    <w:rsid w:val="00D306F7"/>
    <w:rsid w:val="00D31709"/>
    <w:rsid w:val="00D34377"/>
    <w:rsid w:val="00D743F4"/>
    <w:rsid w:val="00D76AAC"/>
    <w:rsid w:val="00D90142"/>
    <w:rsid w:val="00D93229"/>
    <w:rsid w:val="00D97A2E"/>
    <w:rsid w:val="00DA3C51"/>
    <w:rsid w:val="00DB312F"/>
    <w:rsid w:val="00DB7C05"/>
    <w:rsid w:val="00DE0427"/>
    <w:rsid w:val="00DF1C14"/>
    <w:rsid w:val="00DF29F0"/>
    <w:rsid w:val="00E00D66"/>
    <w:rsid w:val="00E21572"/>
    <w:rsid w:val="00E31AE6"/>
    <w:rsid w:val="00E340D9"/>
    <w:rsid w:val="00E3719C"/>
    <w:rsid w:val="00E51CD7"/>
    <w:rsid w:val="00E64D57"/>
    <w:rsid w:val="00E65DDE"/>
    <w:rsid w:val="00E934BB"/>
    <w:rsid w:val="00EA2CEA"/>
    <w:rsid w:val="00EA4BE8"/>
    <w:rsid w:val="00EC7B98"/>
    <w:rsid w:val="00ED0711"/>
    <w:rsid w:val="00ED0A24"/>
    <w:rsid w:val="00ED1806"/>
    <w:rsid w:val="00EE03E1"/>
    <w:rsid w:val="00EE1E50"/>
    <w:rsid w:val="00F210A8"/>
    <w:rsid w:val="00F21AE8"/>
    <w:rsid w:val="00F6312B"/>
    <w:rsid w:val="00F71746"/>
    <w:rsid w:val="00F81964"/>
    <w:rsid w:val="00F90D80"/>
    <w:rsid w:val="00F96906"/>
    <w:rsid w:val="00FA4B35"/>
    <w:rsid w:val="00FB5BCD"/>
    <w:rsid w:val="00FC6C68"/>
    <w:rsid w:val="00FF306F"/>
    <w:rsid w:val="00FF5E2B"/>
    <w:rsid w:val="017F5193"/>
    <w:rsid w:val="0A39186E"/>
    <w:rsid w:val="1090632E"/>
    <w:rsid w:val="137A57A0"/>
    <w:rsid w:val="143D67CD"/>
    <w:rsid w:val="19AF5A77"/>
    <w:rsid w:val="1D287954"/>
    <w:rsid w:val="2BF51A0F"/>
    <w:rsid w:val="2E516A26"/>
    <w:rsid w:val="32841682"/>
    <w:rsid w:val="37070849"/>
    <w:rsid w:val="3B1740CE"/>
    <w:rsid w:val="400718BA"/>
    <w:rsid w:val="44F36AED"/>
    <w:rsid w:val="477511F9"/>
    <w:rsid w:val="4D357A66"/>
    <w:rsid w:val="4E30647F"/>
    <w:rsid w:val="4F4F2935"/>
    <w:rsid w:val="53BC2CAC"/>
    <w:rsid w:val="563F3703"/>
    <w:rsid w:val="57446CFB"/>
    <w:rsid w:val="6BE24E05"/>
    <w:rsid w:val="708E5A10"/>
    <w:rsid w:val="760D2A7F"/>
    <w:rsid w:val="76CC0B8C"/>
    <w:rsid w:val="7E1F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iPriority="99" w:semiHidden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2"/>
    <w:unhideWhenUsed/>
    <w:qFormat/>
    <w:uiPriority w:val="99"/>
    <w:pPr>
      <w:jc w:val="left"/>
    </w:pPr>
    <w:rPr>
      <w:rFonts w:ascii="Calibri" w:hAnsi="Courier New" w:cs="Courier New"/>
      <w:szCs w:val="21"/>
    </w:r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paragraph" w:customStyle="1" w:styleId="11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12">
    <w:name w:val="纯文本 字符"/>
    <w:basedOn w:val="9"/>
    <w:link w:val="2"/>
    <w:qFormat/>
    <w:uiPriority w:val="99"/>
    <w:rPr>
      <w:rFonts w:ascii="Calibri" w:hAnsi="Courier New" w:cs="Courier New"/>
      <w:kern w:val="2"/>
      <w:sz w:val="21"/>
      <w:szCs w:val="21"/>
    </w:rPr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等线" w:cs="宋体"/>
      <w:color w:val="000000"/>
      <w:sz w:val="24"/>
      <w:szCs w:val="24"/>
      <w:lang w:val="en-US" w:eastAsia="zh-CN" w:bidi="ar-SA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755</Words>
  <Characters>908</Characters>
  <Lines>7</Lines>
  <Paragraphs>2</Paragraphs>
  <TotalTime>458</TotalTime>
  <ScaleCrop>false</ScaleCrop>
  <LinksUpToDate>false</LinksUpToDate>
  <CharactersWithSpaces>1134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2026-04-23T08:13:00Z</dcterms:created>
  <dc:creator>walkinnet</dc:creator>
  <cp:lastModifiedBy>小海</cp:lastModifiedBy>
  <cp:lastPrinted>2026-04-29T13:23:00Z</cp:lastPrinted>
  <dcterms:modified xsi:type="dcterms:W3CDTF">2026-08-18T08:36:08Z</dcterms:modified>
  <dc:title>昆山西钛微电子科技有限公司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eyJoZGlkIjoiMWM4MmVkOTA1MjFjYzMwZWNmZGFhODliZDBjZWU4YWMiLCJ1c2VySWQiOiIxMTQzMDIwNDU2In0=</vt:lpwstr>
  </property>
  <property fmtid="{D5CDD505-2E9C-101B-9397-08002B2CF9AE}" pid="4" name="ICV">
    <vt:lpwstr>A50A587E9D6F424BB592BFDC771C9540_12</vt:lpwstr>
  </property>
</Properties>
</file>