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2D766B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450" w:firstLineChars="250"/>
        <w:jc w:val="both"/>
        <w:rPr>
          <w:rFonts w:eastAsia="楷体_GB2312"/>
          <w:b/>
          <w:bCs/>
          <w:color w:val="000000"/>
          <w:sz w:val="24"/>
        </w:rPr>
      </w:pPr>
      <w:r>
        <w:rPr>
          <w:rFonts w:hint="eastAsia"/>
          <w:color w:val="000000"/>
        </w:rPr>
        <w:t xml:space="preserve"> </w:t>
      </w:r>
      <w:r>
        <w:rPr>
          <w:rFonts w:hint="eastAsia" w:eastAsia="楷体_GB2312"/>
          <w:b/>
          <w:bCs/>
          <w:color w:val="000000"/>
          <w:sz w:val="24"/>
        </w:rPr>
        <w:t xml:space="preserve">                         </w:t>
      </w:r>
      <w:r>
        <w:rPr>
          <w:rFonts w:eastAsia="楷体_GB2312"/>
          <w:b/>
          <w:color w:val="000000"/>
          <w:sz w:val="24"/>
        </w:rPr>
        <w:drawing>
          <wp:inline distT="0" distB="0" distL="0" distR="0">
            <wp:extent cx="504825" cy="495300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eastAsia="楷体_GB2312"/>
          <w:b/>
          <w:bCs/>
          <w:color w:val="000000"/>
          <w:sz w:val="24"/>
        </w:rPr>
        <w:t xml:space="preserve">    </w:t>
      </w:r>
      <w:r>
        <w:rPr>
          <w:rFonts w:hint="eastAsia" w:eastAsia="楷体_GB2312"/>
          <w:b/>
          <w:bCs/>
          <w:color w:val="000000"/>
          <w:sz w:val="32"/>
          <w:szCs w:val="32"/>
        </w:rPr>
        <w:t>华天科技（昆山）电子有限公司</w:t>
      </w:r>
    </w:p>
    <w:p w14:paraId="289B1BA8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firstLine="3778" w:firstLineChars="1568"/>
        <w:jc w:val="both"/>
        <w:rPr>
          <w:rFonts w:ascii="宋体" w:cs="宋体"/>
          <w:color w:val="000000"/>
          <w:kern w:val="0"/>
          <w:sz w:val="23"/>
          <w:szCs w:val="23"/>
        </w:rPr>
      </w:pPr>
      <w:r>
        <w:rPr>
          <w:rFonts w:hint="eastAsia" w:eastAsia="楷体_GB2312"/>
          <w:b/>
          <w:bCs/>
          <w:color w:val="000000"/>
          <w:sz w:val="24"/>
        </w:rPr>
        <w:t xml:space="preserve">             </w:t>
      </w:r>
      <w:r>
        <w:rPr>
          <w:rFonts w:hint="eastAsia" w:ascii="宋体" w:cs="宋体"/>
          <w:color w:val="000000"/>
          <w:kern w:val="0"/>
          <w:sz w:val="23"/>
          <w:szCs w:val="23"/>
        </w:rPr>
        <w:t>设备仪器验收Check sheet</w:t>
      </w:r>
    </w:p>
    <w:p w14:paraId="4FA50ADE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/>
        <w:jc w:val="both"/>
        <w:rPr>
          <w:rFonts w:ascii="宋体" w:cs="宋体"/>
          <w:color w:val="000000"/>
          <w:kern w:val="0"/>
          <w:sz w:val="21"/>
          <w:szCs w:val="21"/>
        </w:rPr>
      </w:pPr>
      <w:r>
        <w:rPr>
          <w:rFonts w:hint="eastAsia" w:ascii="宋体" w:cs="宋体"/>
          <w:color w:val="000000"/>
          <w:kern w:val="0"/>
          <w:sz w:val="21"/>
          <w:szCs w:val="21"/>
        </w:rPr>
        <w:t>设备名称:</w:t>
      </w:r>
      <w:bookmarkStart w:id="0" w:name="OLE_LINK9"/>
      <w:r>
        <w:rPr>
          <w:rFonts w:hint="eastAsia" w:ascii="宋体" w:cs="宋体"/>
          <w:color w:val="000000"/>
          <w:kern w:val="0"/>
        </w:rPr>
        <w:t xml:space="preserve"> </w:t>
      </w:r>
      <w:r>
        <w:rPr>
          <w:rFonts w:hint="eastAsia" w:ascii="宋体" w:cs="宋体"/>
          <w:color w:val="000000"/>
          <w:kern w:val="0"/>
          <w:sz w:val="21"/>
          <w:szCs w:val="21"/>
        </w:rPr>
        <w:t xml:space="preserve">打标机 </w:t>
      </w:r>
      <w:bookmarkEnd w:id="0"/>
      <w:r>
        <w:rPr>
          <w:rFonts w:hint="eastAsia" w:ascii="宋体" w:cs="宋体"/>
          <w:color w:val="000000"/>
          <w:kern w:val="0"/>
          <w:sz w:val="21"/>
          <w:szCs w:val="21"/>
        </w:rPr>
        <w:t xml:space="preserve">                                                                                           </w:t>
      </w:r>
    </w:p>
    <w:tbl>
      <w:tblPr>
        <w:tblStyle w:val="6"/>
        <w:tblW w:w="1460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701"/>
        <w:gridCol w:w="6549"/>
        <w:gridCol w:w="1418"/>
        <w:gridCol w:w="1276"/>
        <w:gridCol w:w="1672"/>
      </w:tblGrid>
      <w:tr w14:paraId="6102D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</w:tcPr>
          <w:p w14:paraId="54D70133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63551AD2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检验项目</w:t>
            </w:r>
          </w:p>
        </w:tc>
        <w:tc>
          <w:tcPr>
            <w:tcW w:w="6549" w:type="dxa"/>
          </w:tcPr>
          <w:p w14:paraId="7F40F98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内容及标准</w:t>
            </w:r>
          </w:p>
        </w:tc>
        <w:tc>
          <w:tcPr>
            <w:tcW w:w="1418" w:type="dxa"/>
          </w:tcPr>
          <w:p w14:paraId="267E34BD">
            <w:pPr>
              <w:ind w:firstLine="105" w:firstLineChars="5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验收结果</w:t>
            </w:r>
          </w:p>
        </w:tc>
        <w:tc>
          <w:tcPr>
            <w:tcW w:w="1276" w:type="dxa"/>
          </w:tcPr>
          <w:p w14:paraId="6554345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检验人</w:t>
            </w:r>
          </w:p>
        </w:tc>
        <w:tc>
          <w:tcPr>
            <w:tcW w:w="1672" w:type="dxa"/>
          </w:tcPr>
          <w:p w14:paraId="56A4BAD5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备注</w:t>
            </w:r>
          </w:p>
        </w:tc>
      </w:tr>
      <w:tr w14:paraId="0C280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restart"/>
          </w:tcPr>
          <w:p w14:paraId="179162E4">
            <w:pPr>
              <w:rPr>
                <w:color w:val="000000"/>
              </w:rPr>
            </w:pPr>
            <w:bookmarkStart w:id="1" w:name="OLE_LINK1" w:colFirst="1" w:colLast="2"/>
            <w:bookmarkStart w:id="2" w:name="_Hlk233509128"/>
            <w:bookmarkStart w:id="3" w:name="OLE_LINK2" w:colFirst="1" w:colLast="2"/>
          </w:p>
          <w:p w14:paraId="7F672A92">
            <w:pPr>
              <w:rPr>
                <w:color w:val="000000"/>
              </w:rPr>
            </w:pPr>
          </w:p>
          <w:p w14:paraId="5955903D">
            <w:pPr>
              <w:rPr>
                <w:color w:val="000000"/>
              </w:rPr>
            </w:pPr>
          </w:p>
          <w:p w14:paraId="1088B3E0">
            <w:pPr>
              <w:rPr>
                <w:color w:val="000000"/>
              </w:rPr>
            </w:pPr>
          </w:p>
          <w:p w14:paraId="1A6D6E81">
            <w:pPr>
              <w:rPr>
                <w:color w:val="000000"/>
              </w:rPr>
            </w:pPr>
          </w:p>
          <w:p w14:paraId="4B9A0DAE">
            <w:pPr>
              <w:rPr>
                <w:color w:val="000000"/>
              </w:rPr>
            </w:pPr>
          </w:p>
          <w:p w14:paraId="0F42592E">
            <w:pPr>
              <w:rPr>
                <w:color w:val="000000"/>
              </w:rPr>
            </w:pPr>
          </w:p>
          <w:p w14:paraId="20F80B31">
            <w:pPr>
              <w:rPr>
                <w:color w:val="000000"/>
              </w:rPr>
            </w:pPr>
          </w:p>
          <w:p w14:paraId="22E9B4FF">
            <w:pPr>
              <w:rPr>
                <w:color w:val="000000"/>
              </w:rPr>
            </w:pPr>
          </w:p>
          <w:p w14:paraId="17475DF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Checksheet A</w:t>
            </w:r>
          </w:p>
          <w:p w14:paraId="7B6BCD68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开箱及安装调试</w:t>
            </w:r>
          </w:p>
          <w:p w14:paraId="2C513EED">
            <w:pPr>
              <w:rPr>
                <w:color w:val="000000"/>
              </w:rPr>
            </w:pPr>
          </w:p>
          <w:p w14:paraId="27C88747">
            <w:pPr>
              <w:rPr>
                <w:color w:val="000000"/>
              </w:rPr>
            </w:pPr>
          </w:p>
          <w:p w14:paraId="2C64DA2B">
            <w:pPr>
              <w:rPr>
                <w:color w:val="000000"/>
              </w:rPr>
            </w:pPr>
          </w:p>
          <w:p w14:paraId="4398F212">
            <w:pPr>
              <w:rPr>
                <w:color w:val="000000"/>
              </w:rPr>
            </w:pPr>
          </w:p>
          <w:p w14:paraId="4B7D938A">
            <w:pPr>
              <w:rPr>
                <w:color w:val="000000"/>
              </w:rPr>
            </w:pPr>
          </w:p>
          <w:p w14:paraId="06DDCDE9">
            <w:pPr>
              <w:rPr>
                <w:color w:val="000000"/>
              </w:rPr>
            </w:pPr>
          </w:p>
          <w:p w14:paraId="45347EB8">
            <w:pPr>
              <w:rPr>
                <w:color w:val="000000"/>
              </w:rPr>
            </w:pPr>
          </w:p>
          <w:p w14:paraId="26CDC1E8">
            <w:pPr>
              <w:rPr>
                <w:color w:val="000000"/>
              </w:rPr>
            </w:pPr>
          </w:p>
          <w:p w14:paraId="42678950">
            <w:pPr>
              <w:rPr>
                <w:color w:val="000000"/>
              </w:rPr>
            </w:pPr>
          </w:p>
          <w:p w14:paraId="03CFEBFC">
            <w:pPr>
              <w:rPr>
                <w:color w:val="000000"/>
              </w:rPr>
            </w:pPr>
          </w:p>
          <w:p w14:paraId="6245B76D">
            <w:pPr>
              <w:rPr>
                <w:color w:val="000000"/>
              </w:rPr>
            </w:pPr>
          </w:p>
          <w:p w14:paraId="138B7B11">
            <w:pPr>
              <w:rPr>
                <w:color w:val="000000"/>
              </w:rPr>
            </w:pPr>
          </w:p>
          <w:p w14:paraId="56ABFD43">
            <w:pPr>
              <w:rPr>
                <w:color w:val="000000"/>
              </w:rPr>
            </w:pPr>
          </w:p>
          <w:p w14:paraId="6A52E59E">
            <w:pPr>
              <w:rPr>
                <w:color w:val="000000"/>
              </w:rPr>
            </w:pPr>
          </w:p>
          <w:p w14:paraId="354728C0">
            <w:pPr>
              <w:rPr>
                <w:color w:val="000000"/>
              </w:rPr>
            </w:pPr>
          </w:p>
          <w:p w14:paraId="02E37DE4">
            <w:pPr>
              <w:rPr>
                <w:color w:val="000000"/>
              </w:rPr>
            </w:pPr>
          </w:p>
          <w:p w14:paraId="6B574F28">
            <w:pPr>
              <w:rPr>
                <w:color w:val="000000"/>
              </w:rPr>
            </w:pPr>
          </w:p>
          <w:p w14:paraId="2A9291EB">
            <w:pPr>
              <w:rPr>
                <w:color w:val="000000"/>
              </w:rPr>
            </w:pPr>
          </w:p>
          <w:p w14:paraId="581F6960">
            <w:pPr>
              <w:rPr>
                <w:color w:val="000000"/>
              </w:rPr>
            </w:pPr>
          </w:p>
          <w:p w14:paraId="61FAC0CD">
            <w:pPr>
              <w:rPr>
                <w:color w:val="000000"/>
              </w:rPr>
            </w:pPr>
          </w:p>
          <w:p w14:paraId="7DED294E">
            <w:pPr>
              <w:rPr>
                <w:color w:val="000000"/>
              </w:rPr>
            </w:pPr>
          </w:p>
          <w:p w14:paraId="3BCFBB16">
            <w:pPr>
              <w:rPr>
                <w:color w:val="000000"/>
              </w:rPr>
            </w:pPr>
          </w:p>
          <w:p w14:paraId="05E39F46">
            <w:pPr>
              <w:rPr>
                <w:color w:val="000000"/>
              </w:rPr>
            </w:pPr>
          </w:p>
          <w:p w14:paraId="10B20B2E">
            <w:pPr>
              <w:rPr>
                <w:color w:val="000000"/>
              </w:rPr>
            </w:pPr>
          </w:p>
          <w:p w14:paraId="001865D2">
            <w:pPr>
              <w:rPr>
                <w:color w:val="000000"/>
              </w:rPr>
            </w:pPr>
          </w:p>
          <w:p w14:paraId="6E9B9B07">
            <w:pPr>
              <w:rPr>
                <w:color w:val="000000"/>
              </w:rPr>
            </w:pPr>
          </w:p>
          <w:p w14:paraId="7990B39B">
            <w:pPr>
              <w:rPr>
                <w:color w:val="000000"/>
              </w:rPr>
            </w:pPr>
          </w:p>
          <w:p w14:paraId="7996B65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Checksheet A</w:t>
            </w:r>
          </w:p>
          <w:p w14:paraId="5FDF65C8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开箱及安装调试</w:t>
            </w:r>
          </w:p>
          <w:p w14:paraId="2F82B24C">
            <w:pPr>
              <w:rPr>
                <w:color w:val="000000"/>
              </w:rPr>
            </w:pPr>
          </w:p>
          <w:p w14:paraId="2360D002">
            <w:pPr>
              <w:rPr>
                <w:color w:val="000000"/>
              </w:rPr>
            </w:pPr>
          </w:p>
          <w:p w14:paraId="3A327047">
            <w:pPr>
              <w:rPr>
                <w:color w:val="000000"/>
              </w:rPr>
            </w:pPr>
          </w:p>
          <w:p w14:paraId="137CB815">
            <w:pPr>
              <w:rPr>
                <w:color w:val="000000"/>
              </w:rPr>
            </w:pPr>
          </w:p>
          <w:p w14:paraId="06824680">
            <w:pPr>
              <w:rPr>
                <w:color w:val="000000"/>
              </w:rPr>
            </w:pPr>
          </w:p>
          <w:p w14:paraId="5C2EDDB3">
            <w:pPr>
              <w:rPr>
                <w:color w:val="000000"/>
              </w:rPr>
            </w:pPr>
          </w:p>
          <w:p w14:paraId="5C88BE83">
            <w:pPr>
              <w:rPr>
                <w:color w:val="000000"/>
              </w:rPr>
            </w:pPr>
          </w:p>
          <w:p w14:paraId="1C424C21">
            <w:pPr>
              <w:rPr>
                <w:color w:val="000000"/>
              </w:rPr>
            </w:pPr>
          </w:p>
          <w:p w14:paraId="22018D70">
            <w:pPr>
              <w:rPr>
                <w:color w:val="000000"/>
              </w:rPr>
            </w:pPr>
          </w:p>
          <w:p w14:paraId="0F42CFDA">
            <w:pPr>
              <w:rPr>
                <w:color w:val="000000"/>
              </w:rPr>
            </w:pPr>
          </w:p>
          <w:p w14:paraId="743ED2FC">
            <w:pPr>
              <w:rPr>
                <w:color w:val="000000"/>
              </w:rPr>
            </w:pPr>
          </w:p>
          <w:p w14:paraId="51A1030A">
            <w:pPr>
              <w:rPr>
                <w:color w:val="000000"/>
              </w:rPr>
            </w:pPr>
          </w:p>
          <w:p w14:paraId="1F84E045">
            <w:pPr>
              <w:rPr>
                <w:color w:val="000000"/>
              </w:rPr>
            </w:pPr>
          </w:p>
          <w:p w14:paraId="184A5E84">
            <w:pPr>
              <w:rPr>
                <w:color w:val="000000"/>
              </w:rPr>
            </w:pPr>
          </w:p>
          <w:p w14:paraId="58A18EC5">
            <w:pPr>
              <w:rPr>
                <w:color w:val="000000"/>
              </w:rPr>
            </w:pPr>
          </w:p>
          <w:p w14:paraId="6BAA0D2E">
            <w:pPr>
              <w:rPr>
                <w:color w:val="000000"/>
              </w:rPr>
            </w:pPr>
          </w:p>
          <w:p w14:paraId="23DD4E5E">
            <w:pPr>
              <w:rPr>
                <w:color w:val="000000"/>
              </w:rPr>
            </w:pPr>
          </w:p>
          <w:p w14:paraId="1228F68A">
            <w:pPr>
              <w:rPr>
                <w:color w:val="000000"/>
              </w:rPr>
            </w:pPr>
          </w:p>
          <w:p w14:paraId="18E7DA15">
            <w:pPr>
              <w:rPr>
                <w:color w:val="000000"/>
              </w:rPr>
            </w:pPr>
          </w:p>
          <w:p w14:paraId="19C17D6F">
            <w:pPr>
              <w:rPr>
                <w:color w:val="000000"/>
              </w:rPr>
            </w:pPr>
          </w:p>
          <w:p w14:paraId="0368CBB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Checksheet A</w:t>
            </w:r>
          </w:p>
          <w:p w14:paraId="1BF4764A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开箱及安装调试</w:t>
            </w:r>
          </w:p>
        </w:tc>
        <w:tc>
          <w:tcPr>
            <w:tcW w:w="1701" w:type="dxa"/>
          </w:tcPr>
          <w:p w14:paraId="6116361E">
            <w:pPr>
              <w:jc w:val="left"/>
            </w:pPr>
            <w:r>
              <w:rPr>
                <w:rFonts w:hint="eastAsia"/>
              </w:rPr>
              <w:t>机台外包装有无破损，变形</w:t>
            </w:r>
          </w:p>
        </w:tc>
        <w:tc>
          <w:tcPr>
            <w:tcW w:w="6549" w:type="dxa"/>
          </w:tcPr>
          <w:p w14:paraId="0526F95C">
            <w:pPr>
              <w:jc w:val="left"/>
            </w:pPr>
            <w:r>
              <w:rPr>
                <w:rFonts w:hint="eastAsia"/>
              </w:rPr>
              <w:t>机台外包装不可出现破损，所有包装敏感标签需张贴，以便于现场判定。</w:t>
            </w:r>
          </w:p>
        </w:tc>
        <w:tc>
          <w:tcPr>
            <w:tcW w:w="1418" w:type="dxa"/>
          </w:tcPr>
          <w:p w14:paraId="6E80A0CF"/>
        </w:tc>
        <w:tc>
          <w:tcPr>
            <w:tcW w:w="1276" w:type="dxa"/>
          </w:tcPr>
          <w:p w14:paraId="77A3C9D1"/>
        </w:tc>
        <w:tc>
          <w:tcPr>
            <w:tcW w:w="1672" w:type="dxa"/>
          </w:tcPr>
          <w:p w14:paraId="799DD7FC"/>
        </w:tc>
      </w:tr>
      <w:tr w14:paraId="5EC32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continue"/>
          </w:tcPr>
          <w:p w14:paraId="7665D71D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0C1EE075">
            <w:pPr>
              <w:jc w:val="left"/>
            </w:pPr>
            <w:r>
              <w:rPr>
                <w:rFonts w:hint="eastAsia"/>
              </w:rPr>
              <w:t>随机文件</w:t>
            </w:r>
          </w:p>
        </w:tc>
        <w:tc>
          <w:tcPr>
            <w:tcW w:w="6549" w:type="dxa"/>
          </w:tcPr>
          <w:p w14:paraId="14C06898">
            <w:pPr>
              <w:jc w:val="left"/>
            </w:pPr>
            <w:r>
              <w:rPr>
                <w:rFonts w:hint="eastAsia"/>
              </w:rPr>
              <w:t>检查文件应齐全，其应包含但不限于：设备操作说明书，设备预防保养说明书，设备异常处理说明书，设备电路管路图，设备封箱清单并附有电子档，设备备份</w:t>
            </w:r>
            <w:r>
              <w:t>硬盘（</w:t>
            </w:r>
            <w:r>
              <w:rPr>
                <w:rFonts w:hint="eastAsia"/>
              </w:rPr>
              <w:t>与</w:t>
            </w:r>
            <w:r>
              <w:t>机台内部使用的完全一样</w:t>
            </w:r>
            <w:r>
              <w:rPr>
                <w:rFonts w:hint="eastAsia"/>
              </w:rPr>
              <w:t>，</w:t>
            </w:r>
            <w:r>
              <w:t>可直接替换使用）</w:t>
            </w:r>
            <w:r>
              <w:rPr>
                <w:rFonts w:hint="eastAsia"/>
              </w:rPr>
              <w:t>，</w:t>
            </w:r>
            <w:r>
              <w:t>并</w:t>
            </w:r>
            <w:r>
              <w:rPr>
                <w:rFonts w:hint="eastAsia"/>
              </w:rPr>
              <w:t>带</w:t>
            </w:r>
            <w:r>
              <w:t>硬盘更</w:t>
            </w:r>
            <w:r>
              <w:rPr>
                <w:rFonts w:hint="eastAsia"/>
              </w:rPr>
              <w:t>换</w:t>
            </w:r>
            <w:r>
              <w:t>使用说明。</w:t>
            </w:r>
          </w:p>
        </w:tc>
        <w:tc>
          <w:tcPr>
            <w:tcW w:w="1418" w:type="dxa"/>
          </w:tcPr>
          <w:p w14:paraId="155B4E97"/>
        </w:tc>
        <w:tc>
          <w:tcPr>
            <w:tcW w:w="1276" w:type="dxa"/>
          </w:tcPr>
          <w:p w14:paraId="6161EC1D"/>
        </w:tc>
        <w:tc>
          <w:tcPr>
            <w:tcW w:w="1672" w:type="dxa"/>
          </w:tcPr>
          <w:p w14:paraId="4C25E8AA"/>
        </w:tc>
      </w:tr>
      <w:bookmarkEnd w:id="1"/>
      <w:bookmarkEnd w:id="2"/>
      <w:bookmarkEnd w:id="3"/>
      <w:tr w14:paraId="2F982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continue"/>
          </w:tcPr>
          <w:p w14:paraId="7B2F974A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40195666">
            <w:pPr>
              <w:jc w:val="left"/>
            </w:pPr>
            <w:r>
              <w:rPr>
                <w:rFonts w:hint="eastAsia"/>
              </w:rPr>
              <w:t>机台备件</w:t>
            </w:r>
          </w:p>
        </w:tc>
        <w:tc>
          <w:tcPr>
            <w:tcW w:w="6549" w:type="dxa"/>
          </w:tcPr>
          <w:p w14:paraId="4E28C44B">
            <w:pPr>
              <w:jc w:val="left"/>
            </w:pPr>
            <w:r>
              <w:rPr>
                <w:rFonts w:hint="eastAsia"/>
              </w:rPr>
              <w:t>检查机台所有耗件及附属品需齐全不短缺，</w:t>
            </w:r>
            <w:r>
              <w:t>配备维修工具</w:t>
            </w:r>
            <w:r>
              <w:rPr>
                <w:rFonts w:hint="eastAsia"/>
              </w:rPr>
              <w:t>及量测</w:t>
            </w:r>
            <w:r>
              <w:t>工具一</w:t>
            </w:r>
            <w:r>
              <w:rPr>
                <w:rFonts w:hint="eastAsia"/>
              </w:rPr>
              <w:t>套。</w:t>
            </w:r>
            <w:r>
              <w:rPr>
                <w:rFonts w:hint="eastAsia"/>
                <w:szCs w:val="21"/>
              </w:rPr>
              <w:t>在确认本规格后，设备供应商应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提供一份关键备件的清单，清单需包括关键机台的原厂料号和描述。并且提供一份为装机准备的备用备件的清单。</w:t>
            </w:r>
          </w:p>
        </w:tc>
        <w:tc>
          <w:tcPr>
            <w:tcW w:w="1418" w:type="dxa"/>
          </w:tcPr>
          <w:p w14:paraId="670BF60A"/>
        </w:tc>
        <w:tc>
          <w:tcPr>
            <w:tcW w:w="1276" w:type="dxa"/>
          </w:tcPr>
          <w:p w14:paraId="7FA07E5E"/>
        </w:tc>
        <w:tc>
          <w:tcPr>
            <w:tcW w:w="1672" w:type="dxa"/>
          </w:tcPr>
          <w:p w14:paraId="411503B2"/>
        </w:tc>
      </w:tr>
      <w:tr w14:paraId="056C6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continue"/>
          </w:tcPr>
          <w:p w14:paraId="35FFD186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072D7E49">
            <w:pPr>
              <w:jc w:val="left"/>
            </w:pPr>
            <w:r>
              <w:rPr>
                <w:rFonts w:hint="eastAsia"/>
              </w:rPr>
              <w:t>机台外观</w:t>
            </w:r>
          </w:p>
        </w:tc>
        <w:tc>
          <w:tcPr>
            <w:tcW w:w="6549" w:type="dxa"/>
          </w:tcPr>
          <w:p w14:paraId="00527037">
            <w:pPr>
              <w:jc w:val="left"/>
            </w:pPr>
            <w:r>
              <w:rPr>
                <w:rFonts w:hint="eastAsia"/>
              </w:rPr>
              <w:t>折箱后机台外观需保证完好，不可出现外观变形，零部件腐蚀，生锈，管路破损现象。</w:t>
            </w:r>
          </w:p>
        </w:tc>
        <w:tc>
          <w:tcPr>
            <w:tcW w:w="1418" w:type="dxa"/>
          </w:tcPr>
          <w:p w14:paraId="090DEB90"/>
        </w:tc>
        <w:tc>
          <w:tcPr>
            <w:tcW w:w="1276" w:type="dxa"/>
          </w:tcPr>
          <w:p w14:paraId="71F11538"/>
        </w:tc>
        <w:tc>
          <w:tcPr>
            <w:tcW w:w="1672" w:type="dxa"/>
          </w:tcPr>
          <w:p w14:paraId="0D4F309A"/>
        </w:tc>
      </w:tr>
      <w:tr w14:paraId="3F5F0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continue"/>
          </w:tcPr>
          <w:p w14:paraId="3AEAAA9A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63132C63">
            <w:pPr>
              <w:jc w:val="left"/>
            </w:pPr>
            <w:r>
              <w:rPr>
                <w:rFonts w:hint="eastAsia"/>
              </w:rPr>
              <w:t>安装调试过程</w:t>
            </w:r>
          </w:p>
        </w:tc>
        <w:tc>
          <w:tcPr>
            <w:tcW w:w="6549" w:type="dxa"/>
          </w:tcPr>
          <w:p w14:paraId="2C3F3581">
            <w:pPr>
              <w:jc w:val="left"/>
            </w:pPr>
            <w:r>
              <w:rPr>
                <w:rFonts w:hint="eastAsia"/>
              </w:rPr>
              <w:t>机台在整个安装调试过程需以设备安全为主，不可出现违章操作，所有设备行程部件需调试至最佳状态。</w:t>
            </w:r>
          </w:p>
        </w:tc>
        <w:tc>
          <w:tcPr>
            <w:tcW w:w="1418" w:type="dxa"/>
          </w:tcPr>
          <w:p w14:paraId="7943BEBA"/>
        </w:tc>
        <w:tc>
          <w:tcPr>
            <w:tcW w:w="1276" w:type="dxa"/>
          </w:tcPr>
          <w:p w14:paraId="3B5AB8F3"/>
        </w:tc>
        <w:tc>
          <w:tcPr>
            <w:tcW w:w="1672" w:type="dxa"/>
          </w:tcPr>
          <w:p w14:paraId="217DC4C9"/>
        </w:tc>
      </w:tr>
      <w:tr w14:paraId="7A960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continue"/>
          </w:tcPr>
          <w:p w14:paraId="20F4120B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1245FEFE">
            <w:pPr>
              <w:jc w:val="left"/>
            </w:pPr>
            <w:r>
              <w:rPr>
                <w:rFonts w:hint="eastAsia"/>
              </w:rPr>
              <w:t>机台水，电，气</w:t>
            </w:r>
          </w:p>
        </w:tc>
        <w:tc>
          <w:tcPr>
            <w:tcW w:w="6549" w:type="dxa"/>
          </w:tcPr>
          <w:p w14:paraId="7EFF486A">
            <w:r>
              <w:rPr>
                <w:rFonts w:hint="eastAsia"/>
              </w:rPr>
              <w:t>.检查设备机台的所有监控系统需保证正常，不可出现显示值与实际值差异问题；</w:t>
            </w:r>
          </w:p>
          <w:p w14:paraId="4E465A9D">
            <w:r>
              <w:rPr>
                <w:rFonts w:hint="eastAsia"/>
              </w:rPr>
              <w:t>2.整台设备，所有电，气标示需清晰，所有标示需与管路图一致；</w:t>
            </w:r>
          </w:p>
          <w:p w14:paraId="45602F0B">
            <w:pPr>
              <w:jc w:val="left"/>
            </w:pPr>
            <w:r>
              <w:rPr>
                <w:rFonts w:hint="eastAsia"/>
              </w:rPr>
              <w:t>3.华天采用3相380V</w:t>
            </w:r>
            <w:r>
              <w:t>/</w:t>
            </w:r>
            <w:r>
              <w:rPr>
                <w:rFonts w:hint="eastAsia"/>
              </w:rPr>
              <w:t>单相220V电压供应，如无法符合，请厂商自备变压器。</w:t>
            </w:r>
          </w:p>
        </w:tc>
        <w:tc>
          <w:tcPr>
            <w:tcW w:w="1418" w:type="dxa"/>
          </w:tcPr>
          <w:p w14:paraId="6184D9B6"/>
        </w:tc>
        <w:tc>
          <w:tcPr>
            <w:tcW w:w="1276" w:type="dxa"/>
          </w:tcPr>
          <w:p w14:paraId="3521ACF8"/>
        </w:tc>
        <w:tc>
          <w:tcPr>
            <w:tcW w:w="1672" w:type="dxa"/>
          </w:tcPr>
          <w:p w14:paraId="4A7C82ED"/>
        </w:tc>
      </w:tr>
      <w:tr w14:paraId="43A47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continue"/>
          </w:tcPr>
          <w:p w14:paraId="4ECAB82C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15D1D01F">
            <w:pPr>
              <w:jc w:val="left"/>
            </w:pPr>
            <w:r>
              <w:rPr>
                <w:rFonts w:hint="eastAsia"/>
              </w:rPr>
              <w:t>教育培训</w:t>
            </w:r>
          </w:p>
        </w:tc>
        <w:tc>
          <w:tcPr>
            <w:tcW w:w="6549" w:type="dxa"/>
          </w:tcPr>
          <w:p w14:paraId="5A9D424A">
            <w:pPr>
              <w:jc w:val="left"/>
            </w:pPr>
            <w:r>
              <w:rPr>
                <w:rFonts w:hint="eastAsia"/>
              </w:rPr>
              <w:t>供应商负责培训工程人员。</w:t>
            </w:r>
          </w:p>
          <w:p w14:paraId="1E82DA62">
            <w:pPr>
              <w:jc w:val="left"/>
            </w:pPr>
            <w:r>
              <w:rPr>
                <w:rFonts w:hint="eastAsia"/>
              </w:rPr>
              <w:t>培训内容包含：设备基础操作，设备原理，设备安装及其调试，设备保养，设备电路查找</w:t>
            </w:r>
            <w:r>
              <w:t>维修</w:t>
            </w:r>
            <w:r>
              <w:rPr>
                <w:rFonts w:hint="eastAsia"/>
              </w:rPr>
              <w:t>。</w:t>
            </w:r>
          </w:p>
        </w:tc>
        <w:tc>
          <w:tcPr>
            <w:tcW w:w="1418" w:type="dxa"/>
          </w:tcPr>
          <w:p w14:paraId="597F60F7"/>
        </w:tc>
        <w:tc>
          <w:tcPr>
            <w:tcW w:w="1276" w:type="dxa"/>
          </w:tcPr>
          <w:p w14:paraId="43A89560"/>
        </w:tc>
        <w:tc>
          <w:tcPr>
            <w:tcW w:w="1672" w:type="dxa"/>
          </w:tcPr>
          <w:p w14:paraId="2C581B28"/>
        </w:tc>
      </w:tr>
      <w:tr w14:paraId="04928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continue"/>
          </w:tcPr>
          <w:p w14:paraId="4F44CBFC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64ADBA15">
            <w:pPr>
              <w:jc w:val="left"/>
            </w:pPr>
            <w:r>
              <w:rPr>
                <w:rFonts w:hint="eastAsia"/>
              </w:rPr>
              <w:t>急停装置正常</w:t>
            </w:r>
          </w:p>
        </w:tc>
        <w:tc>
          <w:tcPr>
            <w:tcW w:w="6549" w:type="dxa"/>
          </w:tcPr>
          <w:p w14:paraId="431A5CBB">
            <w:pPr>
              <w:jc w:val="left"/>
            </w:pPr>
            <w:r>
              <w:rPr>
                <w:rFonts w:hint="eastAsia"/>
              </w:rPr>
              <w:t>设备EMO需保证正常</w:t>
            </w:r>
          </w:p>
        </w:tc>
        <w:tc>
          <w:tcPr>
            <w:tcW w:w="1418" w:type="dxa"/>
          </w:tcPr>
          <w:p w14:paraId="5681C193"/>
        </w:tc>
        <w:tc>
          <w:tcPr>
            <w:tcW w:w="1276" w:type="dxa"/>
          </w:tcPr>
          <w:p w14:paraId="58D98F53"/>
        </w:tc>
        <w:tc>
          <w:tcPr>
            <w:tcW w:w="1672" w:type="dxa"/>
          </w:tcPr>
          <w:p w14:paraId="1F4EF9C0"/>
        </w:tc>
      </w:tr>
      <w:tr w14:paraId="312AC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continue"/>
          </w:tcPr>
          <w:p w14:paraId="4DBF5270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2207A2ED">
            <w:pPr>
              <w:jc w:val="left"/>
            </w:pPr>
            <w:r>
              <w:rPr>
                <w:rFonts w:hint="eastAsia"/>
              </w:rPr>
              <w:t>设备硬件检查</w:t>
            </w:r>
          </w:p>
        </w:tc>
        <w:tc>
          <w:tcPr>
            <w:tcW w:w="6549" w:type="dxa"/>
          </w:tcPr>
          <w:p w14:paraId="31117A93"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所有设备硬件100%符合设备Config；</w:t>
            </w:r>
          </w:p>
        </w:tc>
        <w:tc>
          <w:tcPr>
            <w:tcW w:w="1418" w:type="dxa"/>
          </w:tcPr>
          <w:p w14:paraId="1630C0E1"/>
        </w:tc>
        <w:tc>
          <w:tcPr>
            <w:tcW w:w="1276" w:type="dxa"/>
          </w:tcPr>
          <w:p w14:paraId="729E1379"/>
        </w:tc>
        <w:tc>
          <w:tcPr>
            <w:tcW w:w="1672" w:type="dxa"/>
          </w:tcPr>
          <w:p w14:paraId="6352B100"/>
        </w:tc>
      </w:tr>
      <w:tr w14:paraId="22D53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continue"/>
          </w:tcPr>
          <w:p w14:paraId="47C2F7DE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0449688D">
            <w:pPr>
              <w:jc w:val="left"/>
            </w:pPr>
            <w:r>
              <w:rPr>
                <w:rFonts w:hint="eastAsia"/>
              </w:rPr>
              <w:t>设备制作材料</w:t>
            </w:r>
          </w:p>
        </w:tc>
        <w:tc>
          <w:tcPr>
            <w:tcW w:w="6549" w:type="dxa"/>
          </w:tcPr>
          <w:p w14:paraId="62920697">
            <w:pPr>
              <w:jc w:val="left"/>
            </w:pPr>
            <w:r>
              <w:rPr>
                <w:rFonts w:hint="eastAsia"/>
              </w:rPr>
              <w:t>设备需满足Class 10000要求，设备整机零部件需保证不产尘。</w:t>
            </w:r>
          </w:p>
        </w:tc>
        <w:tc>
          <w:tcPr>
            <w:tcW w:w="1418" w:type="dxa"/>
          </w:tcPr>
          <w:p w14:paraId="6FA4D1AA"/>
        </w:tc>
        <w:tc>
          <w:tcPr>
            <w:tcW w:w="1276" w:type="dxa"/>
          </w:tcPr>
          <w:p w14:paraId="09EAC370"/>
        </w:tc>
        <w:tc>
          <w:tcPr>
            <w:tcW w:w="1672" w:type="dxa"/>
          </w:tcPr>
          <w:p w14:paraId="36EA401D"/>
        </w:tc>
      </w:tr>
      <w:tr w14:paraId="796A0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continue"/>
          </w:tcPr>
          <w:p w14:paraId="3D221262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2647B34D">
            <w:pPr>
              <w:jc w:val="left"/>
            </w:pPr>
            <w:r>
              <w:rPr>
                <w:rFonts w:hint="eastAsia"/>
                <w:szCs w:val="21"/>
              </w:rPr>
              <w:t>二次配要求</w:t>
            </w:r>
          </w:p>
        </w:tc>
        <w:tc>
          <w:tcPr>
            <w:tcW w:w="6549" w:type="dxa"/>
          </w:tcPr>
          <w:p w14:paraId="2B50B6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1.厂商需要在设备入厂前一个月提供精确的厂务端需求并发给HT，包括机台的定位图，如有错误，损失厂商负责</w:t>
            </w:r>
            <w:r>
              <w:rPr>
                <w:szCs w:val="21"/>
              </w:rPr>
              <w:t>;</w:t>
            </w:r>
          </w:p>
          <w:p w14:paraId="7930E9F7">
            <w:pPr>
              <w:rPr>
                <w:szCs w:val="21"/>
              </w:rPr>
            </w:pPr>
            <w:r>
              <w:rPr>
                <w:szCs w:val="21"/>
              </w:rPr>
              <w:t>2.</w:t>
            </w:r>
            <w:r>
              <w:rPr>
                <w:rFonts w:hint="eastAsia"/>
                <w:szCs w:val="21"/>
              </w:rPr>
              <w:t>厂商需要告知机台上接厂务端系统的接口位置，包括机台子系统，操作维修空间及其他安全需求。</w:t>
            </w:r>
            <w:r>
              <w:rPr>
                <w:szCs w:val="21"/>
              </w:rPr>
              <w:t xml:space="preserve"> </w:t>
            </w:r>
          </w:p>
          <w:p w14:paraId="273E27F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厂商需要准确告知机台各子系统和主系统的连接需求;</w:t>
            </w:r>
          </w:p>
          <w:p w14:paraId="052C8F45">
            <w:pPr>
              <w:rPr>
                <w:szCs w:val="21"/>
              </w:rPr>
            </w:pPr>
            <w:r>
              <w:rPr>
                <w:szCs w:val="21"/>
              </w:rPr>
              <w:t>3.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Cs w:val="21"/>
              </w:rPr>
              <w:t>针</w:t>
            </w:r>
            <w:r>
              <w:rPr>
                <w:szCs w:val="21"/>
              </w:rPr>
              <w:t>对</w:t>
            </w:r>
            <w:r>
              <w:rPr>
                <w:rFonts w:hint="eastAsia"/>
                <w:szCs w:val="21"/>
              </w:rPr>
              <w:t>设备</w:t>
            </w:r>
            <w:r>
              <w:rPr>
                <w:szCs w:val="21"/>
              </w:rPr>
              <w:t>所需各</w:t>
            </w:r>
            <w:r>
              <w:rPr>
                <w:rFonts w:hint="eastAsia"/>
                <w:szCs w:val="21"/>
              </w:rPr>
              <w:t>种</w:t>
            </w:r>
            <w:r>
              <w:rPr>
                <w:szCs w:val="21"/>
              </w:rPr>
              <w:t>动力</w:t>
            </w:r>
            <w:r>
              <w:rPr>
                <w:rFonts w:hint="eastAsia"/>
                <w:szCs w:val="21"/>
              </w:rPr>
              <w:t>供应</w:t>
            </w:r>
            <w:r>
              <w:rPr>
                <w:szCs w:val="21"/>
              </w:rPr>
              <w:t>部份的设计，需</w:t>
            </w:r>
            <w:r>
              <w:rPr>
                <w:rFonts w:hint="eastAsia"/>
                <w:szCs w:val="21"/>
              </w:rPr>
              <w:t>符合</w:t>
            </w:r>
            <w:r>
              <w:rPr>
                <w:szCs w:val="21"/>
              </w:rPr>
              <w:t>华天需求，具体请</w:t>
            </w:r>
            <w:r>
              <w:rPr>
                <w:rFonts w:hint="eastAsia"/>
                <w:szCs w:val="21"/>
              </w:rPr>
              <w:t>Follow附</w:t>
            </w:r>
            <w:r>
              <w:rPr>
                <w:szCs w:val="21"/>
              </w:rPr>
              <w:t>件一：</w:t>
            </w:r>
            <w:r>
              <w:rPr>
                <w:rFonts w:hint="eastAsia"/>
                <w:szCs w:val="21"/>
              </w:rPr>
              <w:t>华天科技二次配配置要求</w:t>
            </w:r>
          </w:p>
        </w:tc>
        <w:tc>
          <w:tcPr>
            <w:tcW w:w="1418" w:type="dxa"/>
          </w:tcPr>
          <w:p w14:paraId="11FDA6CF"/>
        </w:tc>
        <w:tc>
          <w:tcPr>
            <w:tcW w:w="1276" w:type="dxa"/>
          </w:tcPr>
          <w:p w14:paraId="7E22F7A9"/>
        </w:tc>
        <w:tc>
          <w:tcPr>
            <w:tcW w:w="1672" w:type="dxa"/>
          </w:tcPr>
          <w:p w14:paraId="39905A52"/>
        </w:tc>
      </w:tr>
      <w:tr w14:paraId="7CD6C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continue"/>
          </w:tcPr>
          <w:p w14:paraId="042EDC90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0CDBE153">
            <w:r>
              <w:rPr>
                <w:rFonts w:hint="eastAsia"/>
              </w:rPr>
              <w:t>操作系统</w:t>
            </w:r>
          </w:p>
        </w:tc>
        <w:tc>
          <w:tcPr>
            <w:tcW w:w="6549" w:type="dxa"/>
          </w:tcPr>
          <w:p w14:paraId="19F8EC0C">
            <w:r>
              <w:rPr>
                <w:rFonts w:hint="eastAsia"/>
              </w:rPr>
              <w:t>设备及附属设备需使用正版windows操作系统，</w:t>
            </w:r>
          </w:p>
        </w:tc>
        <w:tc>
          <w:tcPr>
            <w:tcW w:w="1418" w:type="dxa"/>
          </w:tcPr>
          <w:p w14:paraId="7FE3470E">
            <w:pPr>
              <w:jc w:val="center"/>
            </w:pPr>
          </w:p>
        </w:tc>
        <w:tc>
          <w:tcPr>
            <w:tcW w:w="1276" w:type="dxa"/>
          </w:tcPr>
          <w:p w14:paraId="0D5CF192">
            <w:pPr>
              <w:jc w:val="center"/>
            </w:pPr>
          </w:p>
        </w:tc>
        <w:tc>
          <w:tcPr>
            <w:tcW w:w="1672" w:type="dxa"/>
          </w:tcPr>
          <w:p w14:paraId="496C6491"/>
        </w:tc>
      </w:tr>
      <w:tr w14:paraId="0C1F4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continue"/>
          </w:tcPr>
          <w:p w14:paraId="139933DE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5241B7DE">
            <w:r>
              <w:rPr>
                <w:rFonts w:hint="eastAsia"/>
              </w:rPr>
              <w:t>电脑运行内存</w:t>
            </w:r>
          </w:p>
        </w:tc>
        <w:tc>
          <w:tcPr>
            <w:tcW w:w="6549" w:type="dxa"/>
          </w:tcPr>
          <w:p w14:paraId="7D8949AB">
            <w:r>
              <w:rPr>
                <w:rFonts w:hint="eastAsia"/>
              </w:rPr>
              <w:t>运行内存不低于1</w:t>
            </w:r>
            <w:r>
              <w:t>6G</w:t>
            </w:r>
          </w:p>
        </w:tc>
        <w:tc>
          <w:tcPr>
            <w:tcW w:w="1418" w:type="dxa"/>
          </w:tcPr>
          <w:p w14:paraId="4E95E29B">
            <w:pPr>
              <w:jc w:val="center"/>
            </w:pPr>
          </w:p>
        </w:tc>
        <w:tc>
          <w:tcPr>
            <w:tcW w:w="1276" w:type="dxa"/>
          </w:tcPr>
          <w:p w14:paraId="08422D5B">
            <w:pPr>
              <w:jc w:val="center"/>
            </w:pPr>
          </w:p>
        </w:tc>
        <w:tc>
          <w:tcPr>
            <w:tcW w:w="1672" w:type="dxa"/>
          </w:tcPr>
          <w:p w14:paraId="230BD81D"/>
        </w:tc>
      </w:tr>
      <w:tr w14:paraId="4F3B4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continue"/>
          </w:tcPr>
          <w:p w14:paraId="1EA37A2C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1E921919">
            <w:r>
              <w:rPr>
                <w:rFonts w:hint="eastAsia"/>
              </w:rPr>
              <w:t>杀毒软件</w:t>
            </w:r>
          </w:p>
        </w:tc>
        <w:tc>
          <w:tcPr>
            <w:tcW w:w="6549" w:type="dxa"/>
          </w:tcPr>
          <w:p w14:paraId="270603F9">
            <w:r>
              <w:rPr>
                <w:rFonts w:hint="eastAsia"/>
              </w:rPr>
              <w:t>设备及附属设备需配有正版杀毒软件</w:t>
            </w:r>
          </w:p>
        </w:tc>
        <w:tc>
          <w:tcPr>
            <w:tcW w:w="1418" w:type="dxa"/>
          </w:tcPr>
          <w:p w14:paraId="63C1EDB8">
            <w:pPr>
              <w:jc w:val="center"/>
            </w:pPr>
          </w:p>
        </w:tc>
        <w:tc>
          <w:tcPr>
            <w:tcW w:w="1276" w:type="dxa"/>
          </w:tcPr>
          <w:p w14:paraId="380FA326">
            <w:pPr>
              <w:jc w:val="center"/>
            </w:pPr>
          </w:p>
        </w:tc>
        <w:tc>
          <w:tcPr>
            <w:tcW w:w="1672" w:type="dxa"/>
          </w:tcPr>
          <w:p w14:paraId="4C877A4D"/>
        </w:tc>
      </w:tr>
      <w:tr w14:paraId="77CF6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continue"/>
          </w:tcPr>
          <w:p w14:paraId="568CE0F7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5646EDDA">
            <w:r>
              <w:rPr>
                <w:rFonts w:hint="eastAsia"/>
              </w:rPr>
              <w:t>安全门</w:t>
            </w:r>
          </w:p>
        </w:tc>
        <w:tc>
          <w:tcPr>
            <w:tcW w:w="6549" w:type="dxa"/>
          </w:tcPr>
          <w:p w14:paraId="291A7CB8">
            <w:r>
              <w:rPr>
                <w:rFonts w:hint="eastAsia"/>
              </w:rPr>
              <w:t>设备在作业过程中，当打开门时需有自动停止功能</w:t>
            </w:r>
          </w:p>
        </w:tc>
        <w:tc>
          <w:tcPr>
            <w:tcW w:w="1418" w:type="dxa"/>
          </w:tcPr>
          <w:p w14:paraId="5EF35C04">
            <w:pPr>
              <w:jc w:val="center"/>
            </w:pPr>
          </w:p>
        </w:tc>
        <w:tc>
          <w:tcPr>
            <w:tcW w:w="1276" w:type="dxa"/>
          </w:tcPr>
          <w:p w14:paraId="4988A19E">
            <w:pPr>
              <w:jc w:val="center"/>
            </w:pPr>
          </w:p>
        </w:tc>
        <w:tc>
          <w:tcPr>
            <w:tcW w:w="1672" w:type="dxa"/>
          </w:tcPr>
          <w:p w14:paraId="5C543D2B"/>
        </w:tc>
      </w:tr>
      <w:tr w14:paraId="4130D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continue"/>
          </w:tcPr>
          <w:p w14:paraId="14FDFEB4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3930F172"/>
          <w:p w14:paraId="7C0C6B8F"/>
          <w:p w14:paraId="7A08A30A"/>
          <w:p w14:paraId="64E0FB4B"/>
          <w:p w14:paraId="44164416">
            <w:r>
              <w:rPr>
                <w:rFonts w:hint="eastAsia"/>
              </w:rPr>
              <w:t>SECS/GEM</w:t>
            </w:r>
          </w:p>
        </w:tc>
        <w:tc>
          <w:tcPr>
            <w:tcW w:w="6549" w:type="dxa"/>
          </w:tcPr>
          <w:p w14:paraId="0ACF99E0">
            <w:pPr>
              <w:pStyle w:val="2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设备需实现EAP联网，EAP建立时设备商需安排人力免费在线配合直致EAP测试成功，软硬件包含：EAP协议</w:t>
            </w:r>
            <w:r>
              <w:rPr>
                <w:rFonts w:hint="eastAsia" w:ascii="Times New Roman" w:hAnsi="Times New Roman" w:cs="Times New Roman"/>
                <w:szCs w:val="24"/>
              </w:rPr>
              <w:t>、</w:t>
            </w:r>
            <w:r>
              <w:rPr>
                <w:rFonts w:ascii="Times New Roman" w:hAnsi="Times New Roman" w:cs="Times New Roman"/>
                <w:szCs w:val="24"/>
              </w:rPr>
              <w:t>RMS、</w:t>
            </w:r>
            <w:r>
              <w:rPr>
                <w:rFonts w:hint="eastAsia" w:ascii="Times New Roman" w:hAnsi="Times New Roman" w:cs="Times New Roman"/>
                <w:szCs w:val="24"/>
              </w:rPr>
              <w:t>FDC、CDS、</w:t>
            </w:r>
            <w:r>
              <w:rPr>
                <w:rFonts w:ascii="Times New Roman" w:hAnsi="Times New Roman" w:cs="Times New Roman"/>
                <w:szCs w:val="24"/>
              </w:rPr>
              <w:t>Barcode(128type)</w:t>
            </w:r>
            <w:r>
              <w:rPr>
                <w:rFonts w:hint="eastAsia" w:ascii="Times New Roman" w:hAnsi="Times New Roman" w:cs="Times New Roman"/>
                <w:szCs w:val="24"/>
              </w:rPr>
              <w:t xml:space="preserve"> reader</w:t>
            </w:r>
            <w:r>
              <w:rPr>
                <w:rFonts w:ascii="Times New Roman" w:hAnsi="Times New Roman" w:cs="Times New Roman"/>
                <w:szCs w:val="24"/>
              </w:rPr>
              <w:t>，RFID</w:t>
            </w:r>
            <w:r>
              <w:rPr>
                <w:rFonts w:hint="eastAsia" w:ascii="Times New Roman" w:hAnsi="Times New Roman" w:cs="Times New Roman"/>
                <w:szCs w:val="24"/>
              </w:rPr>
              <w:t xml:space="preserve"> reader</w:t>
            </w:r>
            <w:r>
              <w:rPr>
                <w:rFonts w:ascii="Times New Roman" w:hAnsi="Times New Roman" w:cs="Times New Roman"/>
                <w:szCs w:val="24"/>
              </w:rPr>
              <w:t>(13.56MHz,型号Omron RFID如下：Amplifier unit : V640- HAM11-V3 ；CIDRW Head :V640-HS61</w:t>
            </w:r>
          </w:p>
          <w:p w14:paraId="144924CF">
            <w:r>
              <w:t>SECS/Gem</w:t>
            </w:r>
            <w:r>
              <w:rPr>
                <w:rFonts w:hint="eastAsia"/>
              </w:rPr>
              <w:t>参考华天标准，</w:t>
            </w:r>
            <w:r>
              <w:t>包含但不限于以下：</w:t>
            </w:r>
          </w:p>
          <w:p w14:paraId="2DFB0826">
            <w:pPr>
              <w:widowControl/>
            </w:pPr>
            <w:r>
              <w:t>E5 – SECS II      E37 – HSMS      E30 – GEM        E40 – Process job</w:t>
            </w:r>
          </w:p>
          <w:p w14:paraId="60C2FC03">
            <w:pPr>
              <w:widowControl/>
            </w:pPr>
            <w:r>
              <w:t>E94 – Control job    E87 – Carrier management           Load stop</w:t>
            </w:r>
          </w:p>
          <w:p w14:paraId="27C5ACCA">
            <w:pPr>
              <w:widowControl/>
            </w:pPr>
            <w:r>
              <w:t>E90 – Substrate trackingE84 – Carrier handoff with AMHS</w:t>
            </w:r>
          </w:p>
          <w:p w14:paraId="5FCBF78C">
            <w:pPr>
              <w:widowControl/>
            </w:pPr>
          </w:p>
          <w:p w14:paraId="7251040D">
            <w:pPr>
              <w:widowControl/>
              <w:rPr>
                <w:rFonts w:hint="eastAsia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解决方法：</w:t>
            </w:r>
          </w:p>
          <w:p w14:paraId="02C4F481">
            <w:pPr>
              <w:widowControl/>
              <w:numPr>
                <w:ilvl w:val="0"/>
                <w:numId w:val="1"/>
              </w:numPr>
              <w:rPr>
                <w:rFonts w:hint="eastAsia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工作流程：手动放料到机台，扫码WaferID，EAP（GEM200）验证，回传验证结果。开始相机定位，试打左上和右下两颗，手动验证，没问题之后再继续工作。</w:t>
            </w:r>
          </w:p>
          <w:p w14:paraId="7A33A1C1">
            <w:pPr>
              <w:widowControl/>
              <w:numPr>
                <w:ilvl w:val="0"/>
                <w:numId w:val="1"/>
              </w:numPr>
              <w:rPr>
                <w:rFonts w:hint="default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不支持GEM300相关事宜。包括：E40和E94</w:t>
            </w:r>
          </w:p>
          <w:p w14:paraId="61746933">
            <w:pPr>
              <w:widowControl/>
              <w:numPr>
                <w:ilvl w:val="0"/>
                <w:numId w:val="1"/>
              </w:numPr>
              <w:rPr>
                <w:rFonts w:hint="default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如果设备出现报警，按照事件方式上传到EAP</w:t>
            </w:r>
          </w:p>
          <w:p w14:paraId="2554A0FF">
            <w:pPr>
              <w:widowControl/>
              <w:numPr>
                <w:ilvl w:val="0"/>
                <w:numId w:val="1"/>
              </w:numPr>
              <w:rPr>
                <w:rFonts w:hint="default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不需要支持RFID</w:t>
            </w:r>
          </w:p>
          <w:p w14:paraId="644BA5BD">
            <w:pPr>
              <w:widowControl/>
            </w:pPr>
          </w:p>
        </w:tc>
        <w:tc>
          <w:tcPr>
            <w:tcW w:w="1418" w:type="dxa"/>
          </w:tcPr>
          <w:p w14:paraId="0435C0ED">
            <w:pPr>
              <w:jc w:val="center"/>
            </w:pPr>
          </w:p>
        </w:tc>
        <w:tc>
          <w:tcPr>
            <w:tcW w:w="1276" w:type="dxa"/>
          </w:tcPr>
          <w:p w14:paraId="40946EDC">
            <w:pPr>
              <w:jc w:val="center"/>
            </w:pPr>
          </w:p>
        </w:tc>
        <w:tc>
          <w:tcPr>
            <w:tcW w:w="1672" w:type="dxa"/>
          </w:tcPr>
          <w:p w14:paraId="70DFDE59"/>
        </w:tc>
      </w:tr>
      <w:tr w14:paraId="16744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continue"/>
          </w:tcPr>
          <w:p w14:paraId="059A4ACE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26AF9A3B">
            <w:r>
              <w:rPr>
                <w:rFonts w:hint="eastAsia"/>
              </w:rPr>
              <w:t>使用晶圆尺寸</w:t>
            </w:r>
          </w:p>
        </w:tc>
        <w:tc>
          <w:tcPr>
            <w:tcW w:w="6549" w:type="dxa"/>
          </w:tcPr>
          <w:p w14:paraId="4640007B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8 &amp; 12 兼容，采用紫外光打</w:t>
            </w:r>
            <w:r>
              <w:t>标，</w:t>
            </w:r>
            <w:r>
              <w:rPr>
                <w:rFonts w:hint="eastAsia"/>
              </w:rPr>
              <w:t>8</w:t>
            </w:r>
            <w:r>
              <w:t>&amp;12自动切换，不需手动切换</w:t>
            </w:r>
            <w:r>
              <w:rPr>
                <w:rFonts w:hint="eastAsia"/>
              </w:rPr>
              <w:t>，</w:t>
            </w:r>
            <w:r>
              <w:t>电控切换</w:t>
            </w:r>
            <w:r>
              <w:rPr>
                <w:rFonts w:hint="eastAsia"/>
                <w:lang w:eastAsia="zh-CN"/>
              </w:rPr>
              <w:t>。</w:t>
            </w:r>
          </w:p>
          <w:p w14:paraId="763969FA">
            <w:pPr>
              <w:rPr>
                <w:rFonts w:hint="eastAsia"/>
                <w:lang w:eastAsia="zh-CN"/>
              </w:rPr>
            </w:pPr>
          </w:p>
          <w:p w14:paraId="58914AC4">
            <w:pPr>
              <w:rPr>
                <w:rFonts w:hint="eastAsia"/>
                <w:lang w:eastAsia="zh-CN"/>
              </w:rPr>
            </w:pPr>
          </w:p>
        </w:tc>
        <w:tc>
          <w:tcPr>
            <w:tcW w:w="1418" w:type="dxa"/>
          </w:tcPr>
          <w:p w14:paraId="73986061">
            <w:pPr>
              <w:jc w:val="center"/>
            </w:pPr>
          </w:p>
        </w:tc>
        <w:tc>
          <w:tcPr>
            <w:tcW w:w="1276" w:type="dxa"/>
          </w:tcPr>
          <w:p w14:paraId="7386D2E3">
            <w:pPr>
              <w:jc w:val="center"/>
            </w:pPr>
          </w:p>
        </w:tc>
        <w:tc>
          <w:tcPr>
            <w:tcW w:w="1672" w:type="dxa"/>
          </w:tcPr>
          <w:p w14:paraId="131C5181"/>
        </w:tc>
      </w:tr>
      <w:tr w14:paraId="363DC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continue"/>
          </w:tcPr>
          <w:p w14:paraId="2DC3E267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0334FA17">
            <w:r>
              <w:t>Log file</w:t>
            </w:r>
          </w:p>
        </w:tc>
        <w:tc>
          <w:tcPr>
            <w:tcW w:w="6549" w:type="dxa"/>
          </w:tcPr>
          <w:p w14:paraId="3139E57A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设备所有操作信息需在Log file内查询到，包含但不限于以下：</w:t>
            </w:r>
          </w:p>
          <w:p w14:paraId="05B152BD">
            <w:pPr>
              <w:numPr>
                <w:ilvl w:val="0"/>
                <w:numId w:val="2"/>
              </w:num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人员操作轨迹；</w:t>
            </w:r>
          </w:p>
          <w:p w14:paraId="0867FA95">
            <w:pPr>
              <w:numPr>
                <w:ilvl w:val="0"/>
                <w:numId w:val="2"/>
              </w:numPr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ascii="宋体" w:hAnsi="宋体" w:cs="宋体"/>
                <w:szCs w:val="21"/>
                <w:lang w:val="zh-CN"/>
              </w:rPr>
              <w:t>详细记录每片产品作业实时相关信息，如Wafer Lot，作业各动作起止时间</w:t>
            </w:r>
          </w:p>
          <w:p w14:paraId="1A7CC2B8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机台alarm和warning信息。</w:t>
            </w:r>
          </w:p>
          <w:p w14:paraId="5E1EDD8F">
            <w:r>
              <w:rPr>
                <w:rFonts w:hint="eastAsia" w:ascii="宋体" w:hAnsi="宋体" w:cs="宋体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.Log可保存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6年</w:t>
            </w:r>
            <w:r>
              <w:rPr>
                <w:rFonts w:hint="eastAsia" w:ascii="宋体" w:hAnsi="宋体" w:cs="宋体"/>
                <w:color w:val="FF0000"/>
                <w:szCs w:val="21"/>
              </w:rPr>
              <w:t>(配置1</w:t>
            </w:r>
            <w:r>
              <w:rPr>
                <w:rFonts w:ascii="宋体" w:hAnsi="宋体" w:cs="宋体"/>
                <w:color w:val="FF0000"/>
                <w:szCs w:val="21"/>
              </w:rPr>
              <w:t>T</w:t>
            </w:r>
            <w:r>
              <w:rPr>
                <w:rFonts w:hint="eastAsia" w:ascii="宋体" w:hAnsi="宋体" w:cs="宋体"/>
                <w:color w:val="FF0000"/>
                <w:szCs w:val="21"/>
              </w:rPr>
              <w:t>空间硬盘保存</w:t>
            </w:r>
            <w:r>
              <w:rPr>
                <w:rFonts w:ascii="宋体" w:hAnsi="宋体" w:cs="宋体"/>
                <w:color w:val="FF0000"/>
                <w:szCs w:val="21"/>
              </w:rPr>
              <w:t>)</w:t>
            </w:r>
            <w:r>
              <w:rPr>
                <w:rFonts w:hint="eastAsia" w:ascii="宋体" w:hAnsi="宋体" w:cs="宋体"/>
                <w:szCs w:val="21"/>
              </w:rPr>
              <w:t>。</w:t>
            </w:r>
          </w:p>
        </w:tc>
        <w:tc>
          <w:tcPr>
            <w:tcW w:w="1418" w:type="dxa"/>
          </w:tcPr>
          <w:p w14:paraId="6AB27D63">
            <w:pPr>
              <w:jc w:val="center"/>
            </w:pPr>
          </w:p>
        </w:tc>
        <w:tc>
          <w:tcPr>
            <w:tcW w:w="1276" w:type="dxa"/>
          </w:tcPr>
          <w:p w14:paraId="1ECBD4A3">
            <w:pPr>
              <w:jc w:val="center"/>
            </w:pPr>
          </w:p>
        </w:tc>
        <w:tc>
          <w:tcPr>
            <w:tcW w:w="1672" w:type="dxa"/>
          </w:tcPr>
          <w:p w14:paraId="0FF1AF8C"/>
        </w:tc>
      </w:tr>
      <w:tr w14:paraId="75608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continue"/>
          </w:tcPr>
          <w:p w14:paraId="5FD83EA8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7D9A6B15">
            <w:r>
              <w:rPr>
                <w:rFonts w:hint="eastAsia"/>
              </w:rPr>
              <w:t>设备软件要求</w:t>
            </w:r>
          </w:p>
        </w:tc>
        <w:tc>
          <w:tcPr>
            <w:tcW w:w="6549" w:type="dxa"/>
          </w:tcPr>
          <w:p w14:paraId="4D59F58E">
            <w:pPr>
              <w:numPr>
                <w:ilvl w:val="0"/>
                <w:numId w:val="3"/>
              </w:num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软件必须是原厂完成完整测试的版本；</w:t>
            </w:r>
          </w:p>
          <w:p w14:paraId="2684298E">
            <w:pPr>
              <w:numPr>
                <w:ilvl w:val="0"/>
                <w:numId w:val="3"/>
              </w:num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所有软件供应商需提供备份的磁盘；</w:t>
            </w:r>
          </w:p>
          <w:p w14:paraId="6CCE5A7E">
            <w:pPr>
              <w:numPr>
                <w:ilvl w:val="0"/>
                <w:numId w:val="3"/>
              </w:num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设备软件具有自动log out功能：可以设定时间，在设定时间内没有在界面上进行操作，软件需要自动退出登录权限，再需要界面操作必须先log in（此功能适用于软件OP/EE/PE/OEM所有权限）；</w:t>
            </w:r>
          </w:p>
          <w:p w14:paraId="3E020BE6">
            <w:pPr>
              <w:numPr>
                <w:ilvl w:val="0"/>
                <w:numId w:val="3"/>
              </w:num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设备软件需为最新版，在HT现场升级过的项目需确保新设备同步已更新。</w:t>
            </w:r>
          </w:p>
          <w:p w14:paraId="0148C952">
            <w:pPr>
              <w:numPr>
                <w:ilvl w:val="0"/>
                <w:numId w:val="3"/>
              </w:num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机台报警区分warning和alarm功能，并有相应的报警机制，</w:t>
            </w:r>
            <w:r>
              <w:rPr>
                <w:rFonts w:hint="eastAsia" w:ascii="宋体" w:hAnsi="宋体" w:cs="宋体"/>
                <w:color w:val="FF0000"/>
                <w:szCs w:val="21"/>
              </w:rPr>
              <w:t>可</w:t>
            </w:r>
            <w:r>
              <w:rPr>
                <w:rFonts w:ascii="宋体" w:hAnsi="宋体" w:cs="宋体"/>
                <w:color w:val="FF0000"/>
                <w:szCs w:val="21"/>
              </w:rPr>
              <w:t>设置区分事件等级</w:t>
            </w:r>
            <w:r>
              <w:rPr>
                <w:rFonts w:ascii="宋体" w:hAnsi="宋体" w:cs="宋体"/>
                <w:szCs w:val="21"/>
              </w:rPr>
              <w:t>。</w:t>
            </w:r>
          </w:p>
          <w:p w14:paraId="46CDC942">
            <w:pPr>
              <w:pStyle w:val="13"/>
              <w:numPr>
                <w:ilvl w:val="0"/>
                <w:numId w:val="3"/>
              </w:numPr>
              <w:ind w:firstLineChars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机台所有Config/recipe设置需要有范围提示（min--max）</w:t>
            </w:r>
          </w:p>
          <w:p w14:paraId="2540E1E0">
            <w:pPr>
              <w:pStyle w:val="13"/>
              <w:numPr>
                <w:ilvl w:val="0"/>
                <w:numId w:val="3"/>
              </w:numPr>
              <w:ind w:firstLineChars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非工程权限下E</w:t>
            </w:r>
            <w:r>
              <w:rPr>
                <w:rFonts w:ascii="宋体" w:hAnsi="宋体" w:cs="宋体"/>
                <w:szCs w:val="21"/>
              </w:rPr>
              <w:t>AP锁定</w:t>
            </w:r>
            <w:r>
              <w:rPr>
                <w:rFonts w:hint="eastAsia" w:ascii="宋体" w:hAnsi="宋体" w:cs="宋体"/>
                <w:szCs w:val="21"/>
              </w:rPr>
              <w:t>，</w:t>
            </w:r>
            <w:r>
              <w:rPr>
                <w:rFonts w:ascii="宋体" w:hAnsi="宋体" w:cs="宋体"/>
                <w:szCs w:val="21"/>
              </w:rPr>
              <w:t>人员无法手动作业</w:t>
            </w:r>
          </w:p>
        </w:tc>
        <w:tc>
          <w:tcPr>
            <w:tcW w:w="1418" w:type="dxa"/>
          </w:tcPr>
          <w:p w14:paraId="55A8C119">
            <w:pPr>
              <w:jc w:val="center"/>
            </w:pPr>
          </w:p>
        </w:tc>
        <w:tc>
          <w:tcPr>
            <w:tcW w:w="1276" w:type="dxa"/>
          </w:tcPr>
          <w:p w14:paraId="59B107EA">
            <w:pPr>
              <w:jc w:val="center"/>
            </w:pPr>
          </w:p>
        </w:tc>
        <w:tc>
          <w:tcPr>
            <w:tcW w:w="1672" w:type="dxa"/>
          </w:tcPr>
          <w:p w14:paraId="023674B6"/>
        </w:tc>
      </w:tr>
      <w:tr w14:paraId="53E8E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continue"/>
          </w:tcPr>
          <w:p w14:paraId="0B32E125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171B1049">
            <w:pPr>
              <w:pStyle w:val="12"/>
              <w:rPr>
                <w:rFonts w:hAnsi="宋体" w:eastAsia="宋体"/>
                <w:color w:val="auto"/>
                <w:sz w:val="21"/>
                <w:szCs w:val="21"/>
              </w:rPr>
            </w:pPr>
            <w:r>
              <w:rPr>
                <w:rFonts w:hAnsi="宋体" w:eastAsia="宋体"/>
                <w:color w:val="auto"/>
                <w:sz w:val="21"/>
                <w:szCs w:val="21"/>
              </w:rPr>
              <w:t>设备保障</w:t>
            </w:r>
          </w:p>
        </w:tc>
        <w:tc>
          <w:tcPr>
            <w:tcW w:w="6549" w:type="dxa"/>
          </w:tcPr>
          <w:p w14:paraId="1EC8AAEB">
            <w:pPr>
              <w:pStyle w:val="12"/>
              <w:rPr>
                <w:rFonts w:hAnsi="宋体" w:eastAsia="宋体"/>
                <w:color w:val="auto"/>
                <w:sz w:val="21"/>
                <w:szCs w:val="21"/>
              </w:rPr>
            </w:pPr>
            <w:r>
              <w:rPr>
                <w:rFonts w:hAnsi="宋体" w:eastAsia="宋体"/>
                <w:color w:val="auto"/>
                <w:sz w:val="21"/>
                <w:szCs w:val="21"/>
              </w:rPr>
              <w:t>采购标准的机台或软件升级不可再向HT要求增加费用</w:t>
            </w:r>
            <w:r>
              <w:rPr>
                <w:rFonts w:hint="eastAsia" w:hAnsi="宋体" w:eastAsia="宋体"/>
                <w:color w:val="FF0000"/>
                <w:sz w:val="21"/>
                <w:szCs w:val="21"/>
              </w:rPr>
              <w:t>(免费时效设备验收后三年内</w:t>
            </w:r>
            <w:r>
              <w:rPr>
                <w:rFonts w:hAnsi="宋体" w:eastAsia="宋体"/>
                <w:color w:val="FF0000"/>
                <w:sz w:val="21"/>
                <w:szCs w:val="21"/>
              </w:rPr>
              <w:t>)。</w:t>
            </w:r>
          </w:p>
        </w:tc>
        <w:tc>
          <w:tcPr>
            <w:tcW w:w="1418" w:type="dxa"/>
          </w:tcPr>
          <w:p w14:paraId="4847B63C">
            <w:pPr>
              <w:jc w:val="center"/>
            </w:pPr>
          </w:p>
        </w:tc>
        <w:tc>
          <w:tcPr>
            <w:tcW w:w="1276" w:type="dxa"/>
          </w:tcPr>
          <w:p w14:paraId="34DB78BE">
            <w:pPr>
              <w:jc w:val="center"/>
            </w:pPr>
          </w:p>
        </w:tc>
        <w:tc>
          <w:tcPr>
            <w:tcW w:w="1672" w:type="dxa"/>
          </w:tcPr>
          <w:p w14:paraId="46C1881D"/>
        </w:tc>
      </w:tr>
      <w:tr w14:paraId="392DF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vMerge w:val="continue"/>
          </w:tcPr>
          <w:p w14:paraId="5B49253A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164219B2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</w:rPr>
              <w:t>ESD</w:t>
            </w:r>
          </w:p>
        </w:tc>
        <w:tc>
          <w:tcPr>
            <w:tcW w:w="6549" w:type="dxa"/>
          </w:tcPr>
          <w:p w14:paraId="1CB7D344"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1设备内离子风机Decay time≤4seconds(from 1000K to 100V)</w:t>
            </w:r>
          </w:p>
          <w:p w14:paraId="486A4934">
            <w:pPr>
              <w:rPr>
                <w:rFonts w:ascii="宋体" w:hAnsi="宋体" w:cs="宋体"/>
                <w:color w:val="000000"/>
                <w:szCs w:val="21"/>
              </w:rPr>
            </w:pPr>
            <w:bookmarkStart w:id="4" w:name="OLE_LINK15"/>
            <w:r>
              <w:rPr>
                <w:rFonts w:ascii="宋体" w:hAnsi="宋体" w:cs="宋体"/>
                <w:color w:val="000000"/>
                <w:szCs w:val="21"/>
              </w:rPr>
              <w:t>2.设备内离子风机Balance Voltage:≤±25V</w:t>
            </w:r>
            <w:bookmarkEnd w:id="4"/>
          </w:p>
          <w:p w14:paraId="4DCF4251"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3.设备表面面板需要是ESD材质，接地电阻小于1Ω，移动部件电阻小于1Ω，漏电电压小于0.3V</w:t>
            </w:r>
          </w:p>
          <w:p w14:paraId="2AE9684E"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4.设备内接触产品的部件对地电阻小于1*10^9Ω</w:t>
            </w:r>
          </w:p>
        </w:tc>
        <w:tc>
          <w:tcPr>
            <w:tcW w:w="1418" w:type="dxa"/>
          </w:tcPr>
          <w:p w14:paraId="26D169B9">
            <w:pPr>
              <w:jc w:val="center"/>
            </w:pPr>
          </w:p>
        </w:tc>
        <w:tc>
          <w:tcPr>
            <w:tcW w:w="1276" w:type="dxa"/>
          </w:tcPr>
          <w:p w14:paraId="0A875DCB">
            <w:pPr>
              <w:jc w:val="center"/>
            </w:pPr>
          </w:p>
        </w:tc>
        <w:tc>
          <w:tcPr>
            <w:tcW w:w="1672" w:type="dxa"/>
          </w:tcPr>
          <w:p w14:paraId="0FDC21BF"/>
        </w:tc>
      </w:tr>
      <w:tr w14:paraId="76CCB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</w:tcPr>
          <w:p w14:paraId="65B4A381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14AE0DC7">
            <w:pPr>
              <w:jc w:val="left"/>
              <w:rPr>
                <w:color w:val="000000"/>
              </w:rPr>
            </w:pPr>
          </w:p>
        </w:tc>
        <w:tc>
          <w:tcPr>
            <w:tcW w:w="6549" w:type="dxa"/>
          </w:tcPr>
          <w:p w14:paraId="6DAF0320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18" w:type="dxa"/>
          </w:tcPr>
          <w:p w14:paraId="3814CCA5">
            <w:pPr>
              <w:jc w:val="center"/>
            </w:pPr>
          </w:p>
        </w:tc>
        <w:tc>
          <w:tcPr>
            <w:tcW w:w="1276" w:type="dxa"/>
          </w:tcPr>
          <w:p w14:paraId="02D04553">
            <w:pPr>
              <w:jc w:val="center"/>
            </w:pPr>
          </w:p>
        </w:tc>
        <w:tc>
          <w:tcPr>
            <w:tcW w:w="1672" w:type="dxa"/>
          </w:tcPr>
          <w:p w14:paraId="36E3DF6F"/>
        </w:tc>
      </w:tr>
    </w:tbl>
    <w:p w14:paraId="51A242EE">
      <w:pPr>
        <w:rPr>
          <w:color w:val="000000"/>
        </w:rPr>
      </w:pPr>
      <w:r>
        <w:rPr>
          <w:rFonts w:hint="eastAsia"/>
          <w:color w:val="000000"/>
        </w:rPr>
        <w:t>核准:                                        审核:                                           制表:</w:t>
      </w:r>
    </w:p>
    <w:p w14:paraId="60FEE3B3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jc w:val="both"/>
        <w:rPr>
          <w:rFonts w:eastAsia="楷体_GB2312"/>
          <w:b/>
          <w:bCs/>
          <w:color w:val="000000"/>
          <w:sz w:val="24"/>
        </w:rPr>
      </w:pPr>
    </w:p>
    <w:p w14:paraId="216A5E56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jc w:val="both"/>
        <w:rPr>
          <w:rFonts w:eastAsia="楷体_GB2312"/>
          <w:b/>
          <w:bCs/>
          <w:color w:val="000000"/>
          <w:sz w:val="24"/>
        </w:rPr>
      </w:pPr>
    </w:p>
    <w:p w14:paraId="7A1B1893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jc w:val="both"/>
        <w:rPr>
          <w:rFonts w:eastAsia="楷体_GB2312"/>
          <w:b/>
          <w:bCs/>
          <w:color w:val="000000"/>
          <w:sz w:val="24"/>
        </w:rPr>
      </w:pPr>
    </w:p>
    <w:p w14:paraId="6023435C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jc w:val="both"/>
        <w:rPr>
          <w:rFonts w:eastAsia="楷体_GB2312"/>
          <w:b/>
          <w:bCs/>
          <w:color w:val="000000"/>
          <w:sz w:val="24"/>
        </w:rPr>
      </w:pPr>
    </w:p>
    <w:p w14:paraId="06D3453F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jc w:val="both"/>
        <w:rPr>
          <w:rFonts w:eastAsia="楷体_GB2312"/>
          <w:b/>
          <w:bCs/>
          <w:color w:val="000000"/>
          <w:sz w:val="24"/>
        </w:rPr>
      </w:pPr>
    </w:p>
    <w:p w14:paraId="3E72A033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jc w:val="both"/>
        <w:rPr>
          <w:rFonts w:eastAsia="楷体_GB2312"/>
          <w:b/>
          <w:bCs/>
          <w:color w:val="000000"/>
          <w:sz w:val="24"/>
        </w:rPr>
      </w:pPr>
    </w:p>
    <w:p w14:paraId="76B636FE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jc w:val="both"/>
        <w:rPr>
          <w:rFonts w:eastAsia="楷体_GB2312"/>
          <w:b/>
          <w:bCs/>
          <w:color w:val="000000"/>
          <w:sz w:val="24"/>
        </w:rPr>
      </w:pPr>
    </w:p>
    <w:p w14:paraId="11F4CF0C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jc w:val="both"/>
        <w:rPr>
          <w:rFonts w:eastAsia="楷体_GB2312"/>
          <w:b/>
          <w:bCs/>
          <w:color w:val="000000"/>
          <w:sz w:val="24"/>
        </w:rPr>
      </w:pPr>
    </w:p>
    <w:p w14:paraId="6130BF4C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jc w:val="both"/>
        <w:rPr>
          <w:rFonts w:eastAsia="楷体_GB2312"/>
          <w:b/>
          <w:bCs/>
          <w:color w:val="000000"/>
          <w:sz w:val="24"/>
        </w:rPr>
      </w:pPr>
    </w:p>
    <w:p w14:paraId="3B523022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jc w:val="both"/>
        <w:rPr>
          <w:rFonts w:eastAsia="楷体_GB2312"/>
          <w:b/>
          <w:bCs/>
          <w:color w:val="000000"/>
          <w:sz w:val="24"/>
        </w:rPr>
      </w:pPr>
    </w:p>
    <w:p w14:paraId="6734E0C6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jc w:val="both"/>
        <w:rPr>
          <w:rFonts w:eastAsia="楷体_GB2312"/>
          <w:b/>
          <w:bCs/>
          <w:color w:val="000000"/>
          <w:sz w:val="24"/>
        </w:rPr>
      </w:pPr>
    </w:p>
    <w:p w14:paraId="33869D67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jc w:val="both"/>
        <w:rPr>
          <w:rFonts w:eastAsia="楷体_GB2312"/>
          <w:b/>
          <w:bCs/>
          <w:color w:val="000000"/>
          <w:sz w:val="24"/>
        </w:rPr>
      </w:pPr>
    </w:p>
    <w:p w14:paraId="7DA37C9E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jc w:val="both"/>
        <w:rPr>
          <w:rFonts w:eastAsia="楷体_GB2312"/>
          <w:b/>
          <w:bCs/>
          <w:color w:val="000000"/>
          <w:sz w:val="24"/>
        </w:rPr>
      </w:pPr>
    </w:p>
    <w:p w14:paraId="4ABB3FEA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jc w:val="both"/>
        <w:rPr>
          <w:rFonts w:eastAsia="楷体_GB2312"/>
          <w:b/>
          <w:bCs/>
          <w:color w:val="000000"/>
          <w:sz w:val="24"/>
        </w:rPr>
      </w:pPr>
    </w:p>
    <w:p w14:paraId="24E71295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jc w:val="both"/>
        <w:rPr>
          <w:rFonts w:eastAsia="楷体_GB2312"/>
          <w:b/>
          <w:bCs/>
          <w:color w:val="000000"/>
          <w:sz w:val="24"/>
        </w:rPr>
      </w:pPr>
    </w:p>
    <w:p w14:paraId="229F838A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012" w:firstLineChars="1250"/>
        <w:jc w:val="both"/>
        <w:rPr>
          <w:rFonts w:eastAsia="楷体_GB2312"/>
          <w:b/>
          <w:bCs/>
          <w:color w:val="000000"/>
          <w:sz w:val="24"/>
        </w:rPr>
      </w:pPr>
      <w:r>
        <w:rPr>
          <w:rFonts w:hint="eastAsia" w:eastAsia="楷体_GB2312"/>
          <w:b/>
          <w:bCs/>
          <w:color w:val="000000"/>
          <w:sz w:val="24"/>
        </w:rPr>
        <w:t xml:space="preserve">    </w:t>
      </w:r>
      <w:r>
        <w:rPr>
          <w:rFonts w:eastAsia="楷体_GB2312"/>
          <w:b/>
          <w:color w:val="000000"/>
          <w:sz w:val="24"/>
        </w:rPr>
        <w:drawing>
          <wp:inline distT="0" distB="0" distL="0" distR="0">
            <wp:extent cx="504825" cy="495300"/>
            <wp:effectExtent l="19050" t="0" r="9525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eastAsia="楷体_GB2312"/>
          <w:b/>
          <w:bCs/>
          <w:color w:val="000000"/>
          <w:sz w:val="24"/>
        </w:rPr>
        <w:t xml:space="preserve">    </w:t>
      </w:r>
      <w:r>
        <w:rPr>
          <w:rFonts w:hint="eastAsia" w:eastAsia="楷体_GB2312"/>
          <w:b/>
          <w:bCs/>
          <w:color w:val="000000"/>
          <w:sz w:val="32"/>
          <w:szCs w:val="32"/>
        </w:rPr>
        <w:t>华天科技（昆山）电子有限公司</w:t>
      </w:r>
    </w:p>
    <w:p w14:paraId="6185877C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firstLine="3896" w:firstLineChars="1617"/>
        <w:jc w:val="both"/>
        <w:rPr>
          <w:rFonts w:ascii="宋体" w:cs="宋体"/>
          <w:color w:val="000000"/>
          <w:kern w:val="0"/>
          <w:sz w:val="23"/>
          <w:szCs w:val="23"/>
        </w:rPr>
      </w:pPr>
      <w:r>
        <w:rPr>
          <w:rFonts w:hint="eastAsia" w:eastAsia="楷体_GB2312"/>
          <w:b/>
          <w:bCs/>
          <w:color w:val="000000"/>
          <w:sz w:val="24"/>
        </w:rPr>
        <w:t xml:space="preserve">            </w:t>
      </w:r>
      <w:r>
        <w:rPr>
          <w:rFonts w:hint="eastAsia" w:ascii="宋体" w:cs="宋体"/>
          <w:color w:val="000000"/>
          <w:kern w:val="0"/>
          <w:sz w:val="23"/>
          <w:szCs w:val="23"/>
        </w:rPr>
        <w:t>设备仪器验收Check sheet</w:t>
      </w:r>
    </w:p>
    <w:p w14:paraId="158E28E4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jc w:val="both"/>
        <w:rPr>
          <w:rFonts w:ascii="宋体" w:cs="宋体"/>
          <w:color w:val="000000"/>
          <w:kern w:val="0"/>
          <w:sz w:val="23"/>
          <w:szCs w:val="23"/>
        </w:rPr>
      </w:pPr>
      <w:r>
        <w:rPr>
          <w:rFonts w:hint="eastAsia" w:ascii="宋体" w:cs="宋体"/>
          <w:color w:val="000000"/>
          <w:kern w:val="0"/>
          <w:sz w:val="21"/>
          <w:szCs w:val="21"/>
        </w:rPr>
        <w:t>设备名称:</w:t>
      </w:r>
      <w:bookmarkStart w:id="5" w:name="OLE_LINK4"/>
      <w:r>
        <w:rPr>
          <w:rFonts w:hint="eastAsia" w:ascii="宋体" w:hAnsi="宋体"/>
          <w:color w:val="000000"/>
          <w:sz w:val="24"/>
        </w:rPr>
        <w:t xml:space="preserve"> </w:t>
      </w:r>
      <w:r>
        <w:rPr>
          <w:rFonts w:hint="eastAsia" w:ascii="宋体" w:cs="宋体"/>
          <w:color w:val="000000"/>
          <w:kern w:val="0"/>
          <w:sz w:val="21"/>
          <w:szCs w:val="21"/>
        </w:rPr>
        <w:t xml:space="preserve">打标机  </w:t>
      </w:r>
      <w:r>
        <w:rPr>
          <w:rFonts w:hint="eastAsia" w:ascii="宋体" w:cs="宋体"/>
          <w:color w:val="000000"/>
          <w:kern w:val="0"/>
        </w:rPr>
        <w:t xml:space="preserve">            </w:t>
      </w:r>
      <w:r>
        <w:rPr>
          <w:rFonts w:hint="eastAsia" w:ascii="宋体" w:cs="宋体"/>
          <w:color w:val="000000"/>
          <w:kern w:val="0"/>
          <w:szCs w:val="21"/>
        </w:rPr>
        <w:t xml:space="preserve"> </w:t>
      </w:r>
      <w:r>
        <w:rPr>
          <w:rFonts w:hint="eastAsia" w:ascii="宋体" w:cs="宋体"/>
          <w:color w:val="000000"/>
          <w:kern w:val="0"/>
          <w:sz w:val="21"/>
          <w:szCs w:val="21"/>
        </w:rPr>
        <w:t xml:space="preserve"> </w:t>
      </w:r>
      <w:bookmarkEnd w:id="5"/>
      <w:r>
        <w:rPr>
          <w:rFonts w:hint="eastAsia" w:ascii="宋体" w:cs="宋体"/>
          <w:color w:val="000000"/>
          <w:kern w:val="0"/>
          <w:sz w:val="21"/>
          <w:szCs w:val="21"/>
        </w:rPr>
        <w:t xml:space="preserve">                                                                          </w:t>
      </w:r>
    </w:p>
    <w:tbl>
      <w:tblPr>
        <w:tblStyle w:val="6"/>
        <w:tblW w:w="1448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2340"/>
        <w:gridCol w:w="5953"/>
        <w:gridCol w:w="1418"/>
        <w:gridCol w:w="1276"/>
        <w:gridCol w:w="1701"/>
      </w:tblGrid>
      <w:tr w14:paraId="013D6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1800" w:type="dxa"/>
          </w:tcPr>
          <w:p w14:paraId="4C339F03">
            <w:pPr>
              <w:rPr>
                <w:color w:val="000000"/>
              </w:rPr>
            </w:pPr>
          </w:p>
        </w:tc>
        <w:tc>
          <w:tcPr>
            <w:tcW w:w="2340" w:type="dxa"/>
          </w:tcPr>
          <w:p w14:paraId="792220B5">
            <w:pPr>
              <w:ind w:firstLine="525" w:firstLineChars="25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检验项目</w:t>
            </w:r>
          </w:p>
        </w:tc>
        <w:tc>
          <w:tcPr>
            <w:tcW w:w="5953" w:type="dxa"/>
          </w:tcPr>
          <w:p w14:paraId="0C063E75">
            <w:pPr>
              <w:ind w:firstLine="1470" w:firstLineChars="70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内容及标准</w:t>
            </w:r>
          </w:p>
        </w:tc>
        <w:tc>
          <w:tcPr>
            <w:tcW w:w="1418" w:type="dxa"/>
          </w:tcPr>
          <w:p w14:paraId="33A79169">
            <w:pPr>
              <w:ind w:firstLine="105" w:firstLineChars="5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验收结果</w:t>
            </w:r>
          </w:p>
        </w:tc>
        <w:tc>
          <w:tcPr>
            <w:tcW w:w="1276" w:type="dxa"/>
          </w:tcPr>
          <w:p w14:paraId="2D3615C8">
            <w:pPr>
              <w:ind w:firstLine="315" w:firstLineChars="15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检验人</w:t>
            </w:r>
          </w:p>
        </w:tc>
        <w:tc>
          <w:tcPr>
            <w:tcW w:w="1701" w:type="dxa"/>
          </w:tcPr>
          <w:p w14:paraId="0F7FA7C5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备注</w:t>
            </w:r>
          </w:p>
        </w:tc>
      </w:tr>
      <w:tr w14:paraId="32C67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Merge w:val="restart"/>
          </w:tcPr>
          <w:p w14:paraId="5A4B2354">
            <w:pPr>
              <w:rPr>
                <w:color w:val="000000"/>
                <w:szCs w:val="21"/>
              </w:rPr>
            </w:pPr>
          </w:p>
          <w:p w14:paraId="16D7247F">
            <w:pPr>
              <w:rPr>
                <w:color w:val="000000"/>
                <w:szCs w:val="21"/>
              </w:rPr>
            </w:pPr>
          </w:p>
          <w:p w14:paraId="3D281D5E">
            <w:pPr>
              <w:rPr>
                <w:color w:val="000000"/>
                <w:szCs w:val="21"/>
              </w:rPr>
            </w:pPr>
          </w:p>
          <w:p w14:paraId="597F226C">
            <w:pPr>
              <w:rPr>
                <w:color w:val="000000"/>
                <w:szCs w:val="21"/>
              </w:rPr>
            </w:pPr>
          </w:p>
          <w:p w14:paraId="574A123D">
            <w:pPr>
              <w:rPr>
                <w:color w:val="000000"/>
                <w:szCs w:val="21"/>
              </w:rPr>
            </w:pPr>
          </w:p>
          <w:p w14:paraId="54A0A394">
            <w:pPr>
              <w:rPr>
                <w:color w:val="000000"/>
                <w:szCs w:val="21"/>
              </w:rPr>
            </w:pPr>
          </w:p>
          <w:p w14:paraId="73BD5B89">
            <w:pPr>
              <w:rPr>
                <w:color w:val="000000"/>
                <w:szCs w:val="21"/>
              </w:rPr>
            </w:pPr>
          </w:p>
          <w:p w14:paraId="024A8A51">
            <w:pPr>
              <w:rPr>
                <w:color w:val="000000"/>
                <w:szCs w:val="21"/>
              </w:rPr>
            </w:pPr>
          </w:p>
          <w:p w14:paraId="09F1740A">
            <w:pPr>
              <w:rPr>
                <w:color w:val="000000"/>
                <w:szCs w:val="21"/>
              </w:rPr>
            </w:pPr>
          </w:p>
          <w:p w14:paraId="7ACD0BDD">
            <w:pPr>
              <w:rPr>
                <w:color w:val="000000"/>
                <w:szCs w:val="21"/>
              </w:rPr>
            </w:pPr>
          </w:p>
          <w:p w14:paraId="1524E3C3">
            <w:pPr>
              <w:rPr>
                <w:color w:val="000000"/>
                <w:szCs w:val="21"/>
              </w:rPr>
            </w:pPr>
          </w:p>
          <w:p w14:paraId="3C494094">
            <w:pPr>
              <w:rPr>
                <w:color w:val="000000"/>
                <w:szCs w:val="21"/>
              </w:rPr>
            </w:pPr>
            <w:bookmarkStart w:id="6" w:name="OLE_LINK5"/>
            <w:r>
              <w:rPr>
                <w:rFonts w:hint="eastAsia"/>
                <w:color w:val="000000"/>
                <w:szCs w:val="21"/>
              </w:rPr>
              <w:t>Check sheet  B</w:t>
            </w:r>
          </w:p>
          <w:bookmarkEnd w:id="6"/>
          <w:p w14:paraId="1F97645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工艺需求验收</w:t>
            </w:r>
          </w:p>
          <w:p w14:paraId="2258F430">
            <w:pPr>
              <w:rPr>
                <w:color w:val="000000"/>
                <w:szCs w:val="21"/>
              </w:rPr>
            </w:pPr>
          </w:p>
          <w:p w14:paraId="7335917C">
            <w:pPr>
              <w:rPr>
                <w:color w:val="000000"/>
                <w:szCs w:val="21"/>
              </w:rPr>
            </w:pPr>
          </w:p>
          <w:p w14:paraId="715E3C96">
            <w:pPr>
              <w:rPr>
                <w:color w:val="000000"/>
                <w:szCs w:val="21"/>
              </w:rPr>
            </w:pPr>
          </w:p>
          <w:p w14:paraId="5A3EF57F">
            <w:pPr>
              <w:rPr>
                <w:color w:val="000000"/>
                <w:szCs w:val="21"/>
              </w:rPr>
            </w:pPr>
          </w:p>
          <w:p w14:paraId="0109A3A5">
            <w:pPr>
              <w:rPr>
                <w:color w:val="000000"/>
                <w:szCs w:val="21"/>
              </w:rPr>
            </w:pPr>
          </w:p>
          <w:p w14:paraId="2E834E62">
            <w:pPr>
              <w:rPr>
                <w:color w:val="000000"/>
                <w:szCs w:val="21"/>
              </w:rPr>
            </w:pPr>
          </w:p>
          <w:p w14:paraId="1CA3B19B">
            <w:pPr>
              <w:rPr>
                <w:color w:val="000000"/>
                <w:szCs w:val="21"/>
              </w:rPr>
            </w:pPr>
          </w:p>
          <w:p w14:paraId="67E87787">
            <w:pPr>
              <w:rPr>
                <w:color w:val="000000"/>
                <w:szCs w:val="21"/>
              </w:rPr>
            </w:pPr>
          </w:p>
          <w:p w14:paraId="35076476">
            <w:pPr>
              <w:rPr>
                <w:color w:val="000000"/>
                <w:szCs w:val="21"/>
              </w:rPr>
            </w:pPr>
          </w:p>
          <w:p w14:paraId="0B7F850F">
            <w:pPr>
              <w:rPr>
                <w:color w:val="000000"/>
                <w:szCs w:val="21"/>
              </w:rPr>
            </w:pPr>
          </w:p>
          <w:p w14:paraId="6699048B">
            <w:pPr>
              <w:rPr>
                <w:color w:val="000000"/>
                <w:szCs w:val="21"/>
              </w:rPr>
            </w:pPr>
          </w:p>
          <w:p w14:paraId="28BAAE55">
            <w:pPr>
              <w:rPr>
                <w:color w:val="000000"/>
                <w:szCs w:val="21"/>
              </w:rPr>
            </w:pPr>
          </w:p>
          <w:p w14:paraId="1D5C2718">
            <w:pPr>
              <w:rPr>
                <w:color w:val="000000"/>
                <w:szCs w:val="21"/>
              </w:rPr>
            </w:pPr>
          </w:p>
          <w:p w14:paraId="46835B22">
            <w:pPr>
              <w:rPr>
                <w:color w:val="000000"/>
                <w:szCs w:val="21"/>
              </w:rPr>
            </w:pPr>
          </w:p>
          <w:p w14:paraId="704A7556">
            <w:pPr>
              <w:rPr>
                <w:color w:val="000000"/>
                <w:szCs w:val="21"/>
              </w:rPr>
            </w:pPr>
          </w:p>
          <w:p w14:paraId="7A1FD740">
            <w:pPr>
              <w:rPr>
                <w:color w:val="000000"/>
                <w:szCs w:val="21"/>
              </w:rPr>
            </w:pPr>
          </w:p>
          <w:p w14:paraId="5502AA1B">
            <w:pPr>
              <w:rPr>
                <w:color w:val="000000"/>
                <w:szCs w:val="21"/>
              </w:rPr>
            </w:pPr>
          </w:p>
          <w:p w14:paraId="57E3A191">
            <w:pPr>
              <w:rPr>
                <w:color w:val="000000"/>
                <w:szCs w:val="21"/>
              </w:rPr>
            </w:pPr>
          </w:p>
          <w:p w14:paraId="57913753">
            <w:pPr>
              <w:rPr>
                <w:color w:val="000000"/>
                <w:szCs w:val="21"/>
              </w:rPr>
            </w:pPr>
          </w:p>
          <w:p w14:paraId="051D9EE8">
            <w:pPr>
              <w:rPr>
                <w:color w:val="000000"/>
                <w:szCs w:val="21"/>
              </w:rPr>
            </w:pPr>
          </w:p>
          <w:p w14:paraId="715A9968">
            <w:pPr>
              <w:rPr>
                <w:color w:val="000000"/>
                <w:szCs w:val="21"/>
              </w:rPr>
            </w:pPr>
          </w:p>
          <w:p w14:paraId="6175BB74">
            <w:pPr>
              <w:rPr>
                <w:color w:val="000000"/>
                <w:szCs w:val="21"/>
              </w:rPr>
            </w:pPr>
          </w:p>
          <w:p w14:paraId="60A828AA">
            <w:pPr>
              <w:rPr>
                <w:color w:val="000000"/>
                <w:szCs w:val="21"/>
              </w:rPr>
            </w:pPr>
          </w:p>
          <w:p w14:paraId="670AEF13">
            <w:pPr>
              <w:rPr>
                <w:color w:val="000000"/>
                <w:szCs w:val="21"/>
              </w:rPr>
            </w:pPr>
          </w:p>
          <w:p w14:paraId="5C321F9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Check sheet  B</w:t>
            </w:r>
          </w:p>
          <w:p w14:paraId="6693E3BE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工艺需求验收</w:t>
            </w:r>
          </w:p>
          <w:p w14:paraId="75E2C750">
            <w:pPr>
              <w:rPr>
                <w:color w:val="000000"/>
                <w:szCs w:val="21"/>
              </w:rPr>
            </w:pPr>
          </w:p>
          <w:p w14:paraId="0F658946">
            <w:pPr>
              <w:rPr>
                <w:color w:val="000000"/>
                <w:szCs w:val="21"/>
              </w:rPr>
            </w:pPr>
          </w:p>
          <w:p w14:paraId="746D74B9">
            <w:pPr>
              <w:rPr>
                <w:color w:val="000000"/>
                <w:szCs w:val="21"/>
              </w:rPr>
            </w:pPr>
          </w:p>
          <w:p w14:paraId="7DAF86CD">
            <w:pPr>
              <w:rPr>
                <w:color w:val="000000"/>
                <w:szCs w:val="21"/>
              </w:rPr>
            </w:pPr>
          </w:p>
        </w:tc>
        <w:tc>
          <w:tcPr>
            <w:tcW w:w="2340" w:type="dxa"/>
          </w:tcPr>
          <w:p w14:paraId="6618E277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自动生成Mapping File功能</w:t>
            </w:r>
          </w:p>
        </w:tc>
        <w:tc>
          <w:tcPr>
            <w:tcW w:w="5953" w:type="dxa"/>
          </w:tcPr>
          <w:p w14:paraId="6AB787D2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可根据参数生成一个与实际图形重合的虚拟包含die分布情况的wafer布置图并且可以观察到整面图</w:t>
            </w:r>
          </w:p>
        </w:tc>
        <w:tc>
          <w:tcPr>
            <w:tcW w:w="1418" w:type="dxa"/>
          </w:tcPr>
          <w:p w14:paraId="5FCCB018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14:paraId="6E269EA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14:paraId="305C9BDA">
            <w:pPr>
              <w:rPr>
                <w:color w:val="000000"/>
              </w:rPr>
            </w:pPr>
          </w:p>
        </w:tc>
      </w:tr>
      <w:tr w14:paraId="15688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Merge w:val="continue"/>
          </w:tcPr>
          <w:p w14:paraId="2EE14DAC">
            <w:pPr>
              <w:rPr>
                <w:color w:val="000000"/>
                <w:szCs w:val="21"/>
              </w:rPr>
            </w:pPr>
          </w:p>
        </w:tc>
        <w:tc>
          <w:tcPr>
            <w:tcW w:w="2340" w:type="dxa"/>
          </w:tcPr>
          <w:p w14:paraId="32C286D7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UPH</w:t>
            </w:r>
          </w:p>
        </w:tc>
        <w:tc>
          <w:tcPr>
            <w:tcW w:w="5953" w:type="dxa"/>
          </w:tcPr>
          <w:p w14:paraId="2F82742B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12寸GY067AT产品：3657*3059 58</w:t>
            </w:r>
            <w:r>
              <w:rPr>
                <w:color w:val="000000"/>
              </w:rPr>
              <w:t>77</w:t>
            </w:r>
            <w:r>
              <w:rPr>
                <w:rFonts w:hint="eastAsia"/>
                <w:color w:val="000000"/>
              </w:rPr>
              <w:t>颗Die 4个字符7Pcs/H；</w:t>
            </w:r>
          </w:p>
        </w:tc>
        <w:tc>
          <w:tcPr>
            <w:tcW w:w="1418" w:type="dxa"/>
          </w:tcPr>
          <w:p w14:paraId="03735E3D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14:paraId="21CEDF1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14:paraId="15E51349">
            <w:pPr>
              <w:rPr>
                <w:color w:val="000000"/>
              </w:rPr>
            </w:pPr>
          </w:p>
        </w:tc>
      </w:tr>
      <w:tr w14:paraId="719EA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Merge w:val="continue"/>
          </w:tcPr>
          <w:p w14:paraId="30F8C9D2">
            <w:pPr>
              <w:rPr>
                <w:color w:val="000000"/>
                <w:szCs w:val="21"/>
              </w:rPr>
            </w:pPr>
          </w:p>
        </w:tc>
        <w:tc>
          <w:tcPr>
            <w:tcW w:w="2340" w:type="dxa"/>
          </w:tcPr>
          <w:p w14:paraId="26F0D8E0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M</w:t>
            </w:r>
            <w:r>
              <w:rPr>
                <w:rFonts w:hint="eastAsia"/>
                <w:color w:val="000000"/>
                <w:szCs w:val="21"/>
              </w:rPr>
              <w:t>arking字形检查</w:t>
            </w:r>
          </w:p>
        </w:tc>
        <w:tc>
          <w:tcPr>
            <w:tcW w:w="5953" w:type="dxa"/>
          </w:tcPr>
          <w:p w14:paraId="1C7B24D6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数字或字母字高≥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FF0000"/>
                <w:szCs w:val="21"/>
              </w:rPr>
              <w:t>0.06</w:t>
            </w:r>
            <w:r>
              <w:rPr>
                <w:rFonts w:hint="eastAsia"/>
                <w:color w:val="000000"/>
                <w:szCs w:val="21"/>
              </w:rPr>
              <w:t>mm字宽≥0.0</w:t>
            </w:r>
            <w:r>
              <w:rPr>
                <w:color w:val="000000"/>
                <w:szCs w:val="21"/>
              </w:rPr>
              <w:t>6</w:t>
            </w:r>
            <w:r>
              <w:rPr>
                <w:rFonts w:hint="eastAsia"/>
                <w:color w:val="000000"/>
                <w:szCs w:val="21"/>
              </w:rPr>
              <w:t>mm字深≤0.015mm，字体完整，线条均匀无中断，清晰可见，无重影,  线宽15 um</w:t>
            </w:r>
            <w:r>
              <w:rPr>
                <w:color w:val="000000"/>
                <w:szCs w:val="21"/>
              </w:rPr>
              <w:t>,</w:t>
            </w:r>
            <w:r>
              <w:rPr>
                <w:rFonts w:hint="eastAsia"/>
                <w:color w:val="000000"/>
                <w:szCs w:val="21"/>
              </w:rPr>
              <w:t>打标</w:t>
            </w:r>
            <w:r>
              <w:rPr>
                <w:color w:val="000000"/>
                <w:szCs w:val="21"/>
              </w:rPr>
              <w:t>字符</w:t>
            </w:r>
            <w:r>
              <w:rPr>
                <w:rFonts w:hint="eastAsia"/>
                <w:color w:val="000000"/>
                <w:szCs w:val="21"/>
              </w:rPr>
              <w:t>在</w:t>
            </w:r>
            <w:r>
              <w:rPr>
                <w:color w:val="000000"/>
                <w:szCs w:val="21"/>
              </w:rPr>
              <w:t>显示器上清晰可见</w:t>
            </w:r>
          </w:p>
          <w:p w14:paraId="52A501FA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Mark相似度可以设定为公共参数，也可以单个机种自由设定</w:t>
            </w:r>
          </w:p>
          <w:p w14:paraId="720BD206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左右两个</w:t>
            </w:r>
            <w:r>
              <w:rPr>
                <w:rFonts w:hint="eastAsia"/>
                <w:color w:val="000000"/>
                <w:szCs w:val="21"/>
              </w:rPr>
              <w:t>Mark可以使不同图形，分别管理比对</w:t>
            </w:r>
          </w:p>
        </w:tc>
        <w:tc>
          <w:tcPr>
            <w:tcW w:w="1418" w:type="dxa"/>
          </w:tcPr>
          <w:p w14:paraId="05979702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14:paraId="2A3925A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14:paraId="38BC0EDE">
            <w:pPr>
              <w:rPr>
                <w:color w:val="000000"/>
              </w:rPr>
            </w:pPr>
          </w:p>
        </w:tc>
      </w:tr>
      <w:tr w14:paraId="6B2F1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Merge w:val="continue"/>
          </w:tcPr>
          <w:p w14:paraId="1FB76D27">
            <w:pPr>
              <w:rPr>
                <w:color w:val="000000"/>
                <w:szCs w:val="21"/>
              </w:rPr>
            </w:pPr>
          </w:p>
        </w:tc>
        <w:tc>
          <w:tcPr>
            <w:tcW w:w="2340" w:type="dxa"/>
          </w:tcPr>
          <w:p w14:paraId="4D01C87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Mapping识别</w:t>
            </w:r>
          </w:p>
        </w:tc>
        <w:tc>
          <w:tcPr>
            <w:tcW w:w="5953" w:type="dxa"/>
          </w:tcPr>
          <w:p w14:paraId="1553315F">
            <w:pPr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根据Mapping指定位置或区域进行打标作业，可以根据读取Map不同die打不同的字符</w:t>
            </w:r>
            <w:r>
              <w:rPr>
                <w:rFonts w:hint="eastAsia"/>
                <w:szCs w:val="21"/>
                <w:lang w:eastAsia="zh-CN"/>
              </w:rPr>
              <w:t>。</w:t>
            </w:r>
          </w:p>
          <w:p w14:paraId="3A4F8473">
            <w:pPr>
              <w:rPr>
                <w:rFonts w:hint="eastAsia"/>
                <w:szCs w:val="21"/>
                <w:lang w:eastAsia="zh-CN"/>
              </w:rPr>
            </w:pPr>
          </w:p>
          <w:p w14:paraId="5EFA5BAF">
            <w:pPr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两个都具备</w:t>
            </w:r>
          </w:p>
          <w:p w14:paraId="6C6B6815">
            <w:pPr>
              <w:rPr>
                <w:rFonts w:hint="eastAsia"/>
                <w:szCs w:val="21"/>
                <w:lang w:val="en-US" w:eastAsia="zh-CN"/>
              </w:rPr>
            </w:pPr>
          </w:p>
          <w:p w14:paraId="4CF7B01E">
            <w:pPr>
              <w:rPr>
                <w:rFonts w:hint="eastAsia"/>
                <w:szCs w:val="21"/>
                <w:lang w:eastAsia="zh-CN"/>
              </w:rPr>
            </w:pPr>
          </w:p>
          <w:p w14:paraId="3E45A6FB">
            <w:pPr>
              <w:rPr>
                <w:rFonts w:hint="eastAsia"/>
                <w:b/>
                <w:bCs/>
                <w:color w:val="FF0000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Cs w:val="21"/>
                <w:lang w:val="en-US" w:eastAsia="zh-CN"/>
              </w:rPr>
              <w:t>解决方法：</w:t>
            </w:r>
          </w:p>
          <w:p w14:paraId="11B0097E">
            <w:pPr>
              <w:rPr>
                <w:rFonts w:hint="eastAsia"/>
                <w:b/>
                <w:bCs/>
                <w:color w:val="FF0000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Cs w:val="21"/>
                <w:lang w:val="en-US" w:eastAsia="zh-CN"/>
              </w:rPr>
              <w:t>（1）支持EAP下发tsk格式的mapping图。</w:t>
            </w:r>
          </w:p>
          <w:p w14:paraId="1A199A1E">
            <w:pPr>
              <w:rPr>
                <w:rFonts w:hint="eastAsia"/>
                <w:b/>
                <w:bCs/>
                <w:color w:val="FF0000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Cs w:val="21"/>
                <w:lang w:val="en-US" w:eastAsia="zh-CN"/>
              </w:rPr>
              <w:t>（2）支持根据参数生成mapping图。</w:t>
            </w:r>
          </w:p>
          <w:p w14:paraId="49F109DF">
            <w:pPr>
              <w:rPr>
                <w:rFonts w:hint="default"/>
                <w:b/>
                <w:bCs/>
                <w:color w:val="FF0000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Cs w:val="21"/>
                <w:lang w:val="en-US" w:eastAsia="zh-CN"/>
              </w:rPr>
              <w:t>（3）根据mapping图可以自由配置需要标刻的die</w:t>
            </w:r>
          </w:p>
        </w:tc>
        <w:tc>
          <w:tcPr>
            <w:tcW w:w="1418" w:type="dxa"/>
          </w:tcPr>
          <w:p w14:paraId="7A1844F0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14:paraId="3A6D792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14:paraId="2022DBB0">
            <w:pPr>
              <w:jc w:val="left"/>
              <w:rPr>
                <w:color w:val="000000"/>
              </w:rPr>
            </w:pPr>
          </w:p>
        </w:tc>
      </w:tr>
      <w:tr w14:paraId="355F6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Merge w:val="continue"/>
          </w:tcPr>
          <w:p w14:paraId="578DBBFB">
            <w:pPr>
              <w:rPr>
                <w:color w:val="000000"/>
                <w:szCs w:val="21"/>
              </w:rPr>
            </w:pPr>
          </w:p>
        </w:tc>
        <w:tc>
          <w:tcPr>
            <w:tcW w:w="2340" w:type="dxa"/>
          </w:tcPr>
          <w:p w14:paraId="29E5F49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打标</w:t>
            </w:r>
            <w:r>
              <w:rPr>
                <w:szCs w:val="21"/>
              </w:rPr>
              <w:t>情况稳定</w:t>
            </w:r>
          </w:p>
        </w:tc>
        <w:tc>
          <w:tcPr>
            <w:tcW w:w="5953" w:type="dxa"/>
          </w:tcPr>
          <w:p w14:paraId="687240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调试</w:t>
            </w:r>
            <w:r>
              <w:rPr>
                <w:szCs w:val="21"/>
              </w:rPr>
              <w:t>OK后保持稳定，</w:t>
            </w:r>
            <w:r>
              <w:rPr>
                <w:rFonts w:hint="eastAsia"/>
                <w:szCs w:val="21"/>
              </w:rPr>
              <w:t>激光</w:t>
            </w:r>
            <w:r>
              <w:rPr>
                <w:szCs w:val="21"/>
              </w:rPr>
              <w:t>保持稳定，不可出现打标字体残缺、打深</w:t>
            </w:r>
            <w:r>
              <w:rPr>
                <w:rFonts w:hint="eastAsia"/>
                <w:szCs w:val="21"/>
              </w:rPr>
              <w:t>、</w:t>
            </w:r>
            <w:r>
              <w:rPr>
                <w:szCs w:val="21"/>
              </w:rPr>
              <w:t>打标偏移等</w:t>
            </w:r>
            <w:r>
              <w:rPr>
                <w:rFonts w:hint="eastAsia"/>
                <w:szCs w:val="21"/>
              </w:rPr>
              <w:t>异常</w:t>
            </w:r>
          </w:p>
        </w:tc>
        <w:tc>
          <w:tcPr>
            <w:tcW w:w="1418" w:type="dxa"/>
          </w:tcPr>
          <w:p w14:paraId="3397E60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14:paraId="23A372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14:paraId="6AA7ADDF">
            <w:pPr>
              <w:rPr>
                <w:color w:val="000000"/>
              </w:rPr>
            </w:pPr>
          </w:p>
        </w:tc>
      </w:tr>
      <w:tr w14:paraId="7A027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Merge w:val="continue"/>
          </w:tcPr>
          <w:p w14:paraId="27D7C31E">
            <w:pPr>
              <w:rPr>
                <w:color w:val="000000"/>
                <w:szCs w:val="21"/>
              </w:rPr>
            </w:pPr>
          </w:p>
        </w:tc>
        <w:tc>
          <w:tcPr>
            <w:tcW w:w="2340" w:type="dxa"/>
          </w:tcPr>
          <w:p w14:paraId="25A4B14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设备打标精度确认</w:t>
            </w:r>
          </w:p>
        </w:tc>
        <w:tc>
          <w:tcPr>
            <w:tcW w:w="5953" w:type="dxa"/>
          </w:tcPr>
          <w:p w14:paraId="0A1EC3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重复定位精度≤10um</w:t>
            </w:r>
          </w:p>
        </w:tc>
        <w:tc>
          <w:tcPr>
            <w:tcW w:w="1418" w:type="dxa"/>
          </w:tcPr>
          <w:p w14:paraId="56B3027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14:paraId="1B37D85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14:paraId="0006E582"/>
        </w:tc>
      </w:tr>
      <w:tr w14:paraId="31967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Merge w:val="continue"/>
          </w:tcPr>
          <w:p w14:paraId="2C8D575C">
            <w:pPr>
              <w:rPr>
                <w:color w:val="000000"/>
                <w:szCs w:val="21"/>
              </w:rPr>
            </w:pPr>
          </w:p>
        </w:tc>
        <w:tc>
          <w:tcPr>
            <w:tcW w:w="2340" w:type="dxa"/>
          </w:tcPr>
          <w:p w14:paraId="04E0E56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真空</w:t>
            </w:r>
            <w:r>
              <w:rPr>
                <w:szCs w:val="21"/>
              </w:rPr>
              <w:t>检测功能</w:t>
            </w:r>
          </w:p>
        </w:tc>
        <w:tc>
          <w:tcPr>
            <w:tcW w:w="5953" w:type="dxa"/>
          </w:tcPr>
          <w:p w14:paraId="11DE720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产品</w:t>
            </w:r>
            <w:r>
              <w:rPr>
                <w:szCs w:val="21"/>
              </w:rPr>
              <w:t>真空需</w:t>
            </w:r>
            <w:r>
              <w:rPr>
                <w:rFonts w:hint="eastAsia"/>
                <w:szCs w:val="21"/>
              </w:rPr>
              <w:t>满足80</w:t>
            </w:r>
            <w:r>
              <w:rPr>
                <w:szCs w:val="21"/>
              </w:rPr>
              <w:t>kpa以上，并且打标前有检测产品真空情况满足</w:t>
            </w:r>
            <w:r>
              <w:rPr>
                <w:rFonts w:hint="eastAsia"/>
                <w:szCs w:val="21"/>
              </w:rPr>
              <w:t>设定真空值</w:t>
            </w:r>
            <w:r>
              <w:rPr>
                <w:szCs w:val="21"/>
              </w:rPr>
              <w:t>后方可打标，作业中途时真空</w:t>
            </w:r>
            <w:r>
              <w:rPr>
                <w:rFonts w:hint="eastAsia"/>
                <w:szCs w:val="21"/>
              </w:rPr>
              <w:t>小于</w:t>
            </w:r>
            <w:r>
              <w:rPr>
                <w:szCs w:val="21"/>
              </w:rPr>
              <w:t>设定值时，需停止作业并报警。</w:t>
            </w:r>
          </w:p>
        </w:tc>
        <w:tc>
          <w:tcPr>
            <w:tcW w:w="1418" w:type="dxa"/>
          </w:tcPr>
          <w:p w14:paraId="3789539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14:paraId="2664C04A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27769CF9"/>
        </w:tc>
      </w:tr>
      <w:tr w14:paraId="7EA1A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800" w:type="dxa"/>
            <w:vMerge w:val="continue"/>
          </w:tcPr>
          <w:p w14:paraId="5B80E43F">
            <w:pPr>
              <w:rPr>
                <w:color w:val="000000"/>
                <w:szCs w:val="21"/>
              </w:rPr>
            </w:pPr>
          </w:p>
        </w:tc>
        <w:tc>
          <w:tcPr>
            <w:tcW w:w="2340" w:type="dxa"/>
          </w:tcPr>
          <w:p w14:paraId="085DE182">
            <w:pPr>
              <w:rPr>
                <w:szCs w:val="21"/>
              </w:rPr>
            </w:pPr>
            <w:bookmarkStart w:id="7" w:name="OLE_LINK22"/>
            <w:r>
              <w:rPr>
                <w:rFonts w:hint="eastAsia"/>
                <w:szCs w:val="21"/>
              </w:rPr>
              <w:t>Marking位置公差检查</w:t>
            </w:r>
            <w:bookmarkEnd w:id="7"/>
          </w:p>
        </w:tc>
        <w:tc>
          <w:tcPr>
            <w:tcW w:w="5953" w:type="dxa"/>
          </w:tcPr>
          <w:p w14:paraId="54086BC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整片wafer上所打标的字符不能超出设定的范围，不能打到焊盘或线路上。一次定位后打标出来的第一颗和最后一颗上的mark的位置偏差≤±15um</w:t>
            </w:r>
          </w:p>
        </w:tc>
        <w:tc>
          <w:tcPr>
            <w:tcW w:w="1418" w:type="dxa"/>
          </w:tcPr>
          <w:p w14:paraId="3EAD5373">
            <w:pPr>
              <w:pStyle w:val="10"/>
              <w:rPr>
                <w:color w:val="000000"/>
                <w:kern w:val="2"/>
                <w:szCs w:val="24"/>
              </w:rPr>
            </w:pPr>
          </w:p>
        </w:tc>
        <w:tc>
          <w:tcPr>
            <w:tcW w:w="1276" w:type="dxa"/>
          </w:tcPr>
          <w:p w14:paraId="3C74EA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14:paraId="7FEAB891"/>
        </w:tc>
      </w:tr>
      <w:tr w14:paraId="2EB8C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Merge w:val="continue"/>
          </w:tcPr>
          <w:p w14:paraId="2F1AB778">
            <w:pPr>
              <w:rPr>
                <w:color w:val="000000"/>
                <w:szCs w:val="21"/>
              </w:rPr>
            </w:pPr>
          </w:p>
        </w:tc>
        <w:tc>
          <w:tcPr>
            <w:tcW w:w="2340" w:type="dxa"/>
          </w:tcPr>
          <w:p w14:paraId="67E8369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设备影像系统确认</w:t>
            </w:r>
          </w:p>
        </w:tc>
        <w:tc>
          <w:tcPr>
            <w:tcW w:w="5953" w:type="dxa"/>
          </w:tcPr>
          <w:p w14:paraId="60541B8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根据现有的MARK点选取光源及CCD，影像系统能够升级，可对Mark点进行软件修复，已做到对异常mark的自我修复功能，如：Mark缺损，边缘锯齿等。</w:t>
            </w:r>
          </w:p>
          <w:p w14:paraId="0A00A0F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每次</w:t>
            </w:r>
            <w:r>
              <w:rPr>
                <w:szCs w:val="21"/>
              </w:rPr>
              <w:t>打标前需要抓取Mark点，并人员手动确认Mark情况开始打标</w:t>
            </w:r>
            <w:r>
              <w:rPr>
                <w:rFonts w:hint="eastAsia"/>
                <w:szCs w:val="21"/>
                <w:lang w:eastAsia="zh-CN"/>
              </w:rPr>
              <w:t>。</w:t>
            </w:r>
          </w:p>
          <w:p w14:paraId="4F4922EE">
            <w:pPr>
              <w:rPr>
                <w:szCs w:val="21"/>
              </w:rPr>
            </w:pPr>
          </w:p>
          <w:p w14:paraId="100409D9">
            <w:pPr>
              <w:rPr>
                <w:rFonts w:hint="eastAsia"/>
                <w:b/>
                <w:bCs/>
                <w:color w:val="FF0000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Cs w:val="21"/>
                <w:lang w:val="en-US" w:eastAsia="zh-CN"/>
              </w:rPr>
              <w:t>解决方法：</w:t>
            </w:r>
          </w:p>
          <w:p w14:paraId="5EDBE90C">
            <w:pPr>
              <w:rPr>
                <w:rFonts w:hint="default"/>
                <w:b/>
                <w:bCs/>
                <w:color w:val="FF0000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Cs w:val="21"/>
                <w:lang w:val="en-US" w:eastAsia="zh-CN"/>
              </w:rPr>
              <w:t>（1）按照《华天昆山HTM-3052打标机软件优化升级需求》一样处理。</w:t>
            </w:r>
          </w:p>
        </w:tc>
        <w:tc>
          <w:tcPr>
            <w:tcW w:w="1418" w:type="dxa"/>
          </w:tcPr>
          <w:p w14:paraId="40663E08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14:paraId="64F0178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14:paraId="7A907608">
            <w:pPr>
              <w:rPr>
                <w:color w:val="000000"/>
              </w:rPr>
            </w:pPr>
          </w:p>
        </w:tc>
      </w:tr>
      <w:tr w14:paraId="0CA72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Merge w:val="continue"/>
          </w:tcPr>
          <w:p w14:paraId="5AD06539">
            <w:pPr>
              <w:rPr>
                <w:color w:val="000000"/>
                <w:szCs w:val="21"/>
              </w:rPr>
            </w:pPr>
          </w:p>
        </w:tc>
        <w:tc>
          <w:tcPr>
            <w:tcW w:w="2340" w:type="dxa"/>
          </w:tcPr>
          <w:p w14:paraId="36B083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Marking后检查功能检查</w:t>
            </w:r>
          </w:p>
        </w:tc>
        <w:tc>
          <w:tcPr>
            <w:tcW w:w="5953" w:type="dxa"/>
          </w:tcPr>
          <w:p w14:paraId="29D48AC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CCD对位时需</w:t>
            </w:r>
            <w:r>
              <w:rPr>
                <w:szCs w:val="21"/>
              </w:rPr>
              <w:t>弹出确认框</w:t>
            </w:r>
            <w:r>
              <w:rPr>
                <w:rFonts w:hint="eastAsia"/>
                <w:szCs w:val="21"/>
              </w:rPr>
              <w:t>，</w:t>
            </w:r>
            <w:r>
              <w:rPr>
                <w:szCs w:val="21"/>
              </w:rPr>
              <w:t>人员确认</w:t>
            </w:r>
            <w:r>
              <w:rPr>
                <w:rFonts w:hint="eastAsia"/>
                <w:szCs w:val="21"/>
              </w:rPr>
              <w:t>mark</w:t>
            </w:r>
            <w:r>
              <w:rPr>
                <w:szCs w:val="21"/>
              </w:rPr>
              <w:t>抓取</w:t>
            </w:r>
            <w:r>
              <w:rPr>
                <w:rFonts w:hint="eastAsia"/>
                <w:szCs w:val="21"/>
              </w:rPr>
              <w:t>情况，才能</w:t>
            </w:r>
            <w:r>
              <w:rPr>
                <w:szCs w:val="21"/>
              </w:rPr>
              <w:t>开始</w:t>
            </w:r>
            <w:r>
              <w:rPr>
                <w:rFonts w:hint="eastAsia"/>
                <w:szCs w:val="21"/>
              </w:rPr>
              <w:t>继续</w:t>
            </w:r>
            <w:r>
              <w:rPr>
                <w:szCs w:val="21"/>
              </w:rPr>
              <w:t>打标。</w:t>
            </w:r>
            <w:r>
              <w:rPr>
                <w:rFonts w:hint="eastAsia"/>
                <w:szCs w:val="21"/>
              </w:rPr>
              <w:t>单颗试打完毕后，须能将试打完的任意位置的单颗芯片直接移到CCD下以便观察打标状况，并根据偏差作出调整，</w:t>
            </w:r>
            <w:r>
              <w:rPr>
                <w:szCs w:val="21"/>
              </w:rPr>
              <w:t>整版无需再次</w:t>
            </w:r>
            <w:r>
              <w:rPr>
                <w:rFonts w:hint="eastAsia"/>
                <w:szCs w:val="21"/>
              </w:rPr>
              <w:t>C</w:t>
            </w:r>
            <w:r>
              <w:rPr>
                <w:szCs w:val="21"/>
              </w:rPr>
              <w:t>CD对位</w:t>
            </w:r>
            <w:r>
              <w:rPr>
                <w:rFonts w:hint="eastAsia"/>
                <w:szCs w:val="21"/>
              </w:rPr>
              <w:t>，</w:t>
            </w:r>
            <w:r>
              <w:rPr>
                <w:szCs w:val="21"/>
              </w:rPr>
              <w:t>若有再次对位</w:t>
            </w:r>
            <w:r>
              <w:rPr>
                <w:rFonts w:hint="eastAsia"/>
                <w:szCs w:val="21"/>
              </w:rPr>
              <w:t>，</w:t>
            </w:r>
            <w:r>
              <w:rPr>
                <w:szCs w:val="21"/>
              </w:rPr>
              <w:t>需对比两次坐标差异</w:t>
            </w:r>
            <w:r>
              <w:rPr>
                <w:rFonts w:hint="eastAsia"/>
                <w:szCs w:val="21"/>
              </w:rPr>
              <w:t>，</w:t>
            </w:r>
            <w:r>
              <w:rPr>
                <w:szCs w:val="21"/>
              </w:rPr>
              <w:t>若差异超过</w:t>
            </w:r>
            <w:r>
              <w:rPr>
                <w:rFonts w:hint="eastAsia"/>
                <w:szCs w:val="21"/>
              </w:rPr>
              <w:t>5um</w:t>
            </w:r>
            <w:r>
              <w:rPr>
                <w:szCs w:val="21"/>
              </w:rPr>
              <w:t>/1°</w:t>
            </w:r>
            <w:r>
              <w:rPr>
                <w:rFonts w:hint="eastAsia"/>
                <w:szCs w:val="21"/>
              </w:rPr>
              <w:t>则报警提示无法作业</w:t>
            </w:r>
            <w:r>
              <w:rPr>
                <w:szCs w:val="21"/>
              </w:rPr>
              <w:t>。</w:t>
            </w:r>
          </w:p>
        </w:tc>
        <w:tc>
          <w:tcPr>
            <w:tcW w:w="1418" w:type="dxa"/>
          </w:tcPr>
          <w:p w14:paraId="6E09F5C4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14:paraId="6E5A870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14:paraId="41C4F7B6">
            <w:pPr>
              <w:rPr>
                <w:color w:val="000000"/>
              </w:rPr>
            </w:pPr>
          </w:p>
        </w:tc>
      </w:tr>
      <w:tr w14:paraId="0E2F8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800" w:type="dxa"/>
            <w:vMerge w:val="continue"/>
          </w:tcPr>
          <w:p w14:paraId="782A4A54">
            <w:pPr>
              <w:rPr>
                <w:color w:val="000000"/>
                <w:szCs w:val="21"/>
              </w:rPr>
            </w:pPr>
          </w:p>
        </w:tc>
        <w:tc>
          <w:tcPr>
            <w:tcW w:w="2340" w:type="dxa"/>
          </w:tcPr>
          <w:p w14:paraId="3E6CAB9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条形码功能检测</w:t>
            </w:r>
          </w:p>
        </w:tc>
        <w:tc>
          <w:tcPr>
            <w:tcW w:w="5953" w:type="dxa"/>
          </w:tcPr>
          <w:p w14:paraId="2F42247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软件具备识别条形码功能</w:t>
            </w:r>
          </w:p>
        </w:tc>
        <w:tc>
          <w:tcPr>
            <w:tcW w:w="1418" w:type="dxa"/>
          </w:tcPr>
          <w:p w14:paraId="4938D6F7">
            <w:pPr>
              <w:rPr>
                <w:color w:val="000000"/>
              </w:rPr>
            </w:pPr>
          </w:p>
        </w:tc>
        <w:tc>
          <w:tcPr>
            <w:tcW w:w="1276" w:type="dxa"/>
          </w:tcPr>
          <w:p w14:paraId="051BA40B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65D2DA6F">
            <w:pPr>
              <w:rPr>
                <w:color w:val="000000"/>
              </w:rPr>
            </w:pPr>
          </w:p>
        </w:tc>
      </w:tr>
      <w:tr w14:paraId="452D4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800" w:type="dxa"/>
            <w:vMerge w:val="continue"/>
          </w:tcPr>
          <w:p w14:paraId="7D574B5A">
            <w:pPr>
              <w:rPr>
                <w:color w:val="000000"/>
                <w:szCs w:val="21"/>
              </w:rPr>
            </w:pPr>
          </w:p>
        </w:tc>
        <w:tc>
          <w:tcPr>
            <w:tcW w:w="2340" w:type="dxa"/>
          </w:tcPr>
          <w:p w14:paraId="7A9D8AF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设备打标偏移差补偿功能</w:t>
            </w:r>
          </w:p>
        </w:tc>
        <w:tc>
          <w:tcPr>
            <w:tcW w:w="5953" w:type="dxa"/>
          </w:tcPr>
          <w:p w14:paraId="71D1906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设备软件或硬件需具备Offset功能，以解决Wafer上不规则的打标偏移现象</w:t>
            </w:r>
          </w:p>
        </w:tc>
        <w:tc>
          <w:tcPr>
            <w:tcW w:w="1418" w:type="dxa"/>
          </w:tcPr>
          <w:p w14:paraId="7914D9FB">
            <w:pPr>
              <w:rPr>
                <w:color w:val="000000"/>
              </w:rPr>
            </w:pPr>
          </w:p>
        </w:tc>
        <w:tc>
          <w:tcPr>
            <w:tcW w:w="1276" w:type="dxa"/>
          </w:tcPr>
          <w:p w14:paraId="7D93F515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33DF21E7">
            <w:pPr>
              <w:rPr>
                <w:color w:val="000000"/>
              </w:rPr>
            </w:pPr>
          </w:p>
        </w:tc>
      </w:tr>
      <w:tr w14:paraId="20C62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800" w:type="dxa"/>
            <w:vMerge w:val="continue"/>
          </w:tcPr>
          <w:p w14:paraId="3C45C6FA">
            <w:pPr>
              <w:rPr>
                <w:color w:val="000000"/>
                <w:szCs w:val="21"/>
              </w:rPr>
            </w:pPr>
          </w:p>
        </w:tc>
        <w:tc>
          <w:tcPr>
            <w:tcW w:w="2340" w:type="dxa"/>
          </w:tcPr>
          <w:p w14:paraId="5528FA0E">
            <w:pPr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打流水码功能</w:t>
            </w:r>
          </w:p>
        </w:tc>
        <w:tc>
          <w:tcPr>
            <w:tcW w:w="5953" w:type="dxa"/>
          </w:tcPr>
          <w:p w14:paraId="397750C1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即根据产品芯片的数量，机器可根据设定打出流水字符；</w:t>
            </w:r>
          </w:p>
          <w:p w14:paraId="3F576048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列</w:t>
            </w:r>
            <w:r>
              <w:rPr>
                <w:rFonts w:ascii="宋体" w:hAnsi="宋体"/>
                <w:szCs w:val="21"/>
              </w:rPr>
              <w:t>如：</w:t>
            </w:r>
            <w:r>
              <w:rPr>
                <w:rFonts w:hint="eastAsia" w:ascii="宋体" w:hAnsi="宋体"/>
                <w:szCs w:val="21"/>
              </w:rPr>
              <w:t>00001</w:t>
            </w:r>
            <w:r>
              <w:rPr>
                <w:rFonts w:ascii="宋体" w:hAnsi="宋体"/>
                <w:szCs w:val="21"/>
              </w:rPr>
              <w:t xml:space="preserve">~99999  </w:t>
            </w:r>
            <w:r>
              <w:rPr>
                <w:rFonts w:hint="eastAsia" w:ascii="宋体" w:hAnsi="宋体"/>
                <w:szCs w:val="21"/>
              </w:rPr>
              <w:t>可</w:t>
            </w:r>
            <w:r>
              <w:rPr>
                <w:rFonts w:ascii="宋体" w:hAnsi="宋体"/>
                <w:szCs w:val="21"/>
              </w:rPr>
              <w:t>自由设定字符数量</w:t>
            </w:r>
            <w:r>
              <w:rPr>
                <w:rFonts w:hint="eastAsia" w:ascii="宋体" w:hAnsi="宋体"/>
                <w:szCs w:val="21"/>
              </w:rPr>
              <w:t>，</w:t>
            </w:r>
            <w:r>
              <w:rPr>
                <w:rFonts w:ascii="宋体" w:hAnsi="宋体"/>
                <w:szCs w:val="21"/>
              </w:rPr>
              <w:t>如字符位数超出现有设定位数</w:t>
            </w:r>
            <w:r>
              <w:rPr>
                <w:rFonts w:hint="eastAsia" w:ascii="宋体" w:hAnsi="宋体"/>
                <w:szCs w:val="21"/>
              </w:rPr>
              <w:t>则</w:t>
            </w:r>
            <w:r>
              <w:rPr>
                <w:rFonts w:ascii="宋体" w:hAnsi="宋体"/>
                <w:szCs w:val="21"/>
              </w:rPr>
              <w:t>报警提示</w:t>
            </w:r>
            <w:r>
              <w:rPr>
                <w:rFonts w:hint="eastAsia" w:ascii="宋体" w:hAnsi="宋体"/>
                <w:szCs w:val="21"/>
              </w:rPr>
              <w:t>，</w:t>
            </w:r>
            <w:r>
              <w:rPr>
                <w:rFonts w:ascii="宋体" w:hAnsi="宋体"/>
                <w:szCs w:val="21"/>
              </w:rPr>
              <w:t>无法作业。若超出字符位数</w:t>
            </w:r>
            <w:r>
              <w:rPr>
                <w:rFonts w:hint="eastAsia" w:ascii="宋体" w:hAnsi="宋体"/>
                <w:szCs w:val="21"/>
              </w:rPr>
              <w:t>，</w:t>
            </w:r>
            <w:r>
              <w:rPr>
                <w:rFonts w:ascii="宋体" w:hAnsi="宋体"/>
                <w:szCs w:val="21"/>
              </w:rPr>
              <w:t>多余的流水码可自动加入字母进行重新排版</w:t>
            </w:r>
            <w:r>
              <w:rPr>
                <w:rFonts w:hint="eastAsia" w:ascii="宋体" w:hAnsi="宋体"/>
                <w:szCs w:val="21"/>
              </w:rPr>
              <w:t>，</w:t>
            </w:r>
            <w:r>
              <w:rPr>
                <w:rFonts w:ascii="宋体" w:hAnsi="宋体"/>
                <w:szCs w:val="21"/>
              </w:rPr>
              <w:t>与</w:t>
            </w:r>
            <w:r>
              <w:rPr>
                <w:rFonts w:hint="eastAsia" w:ascii="宋体" w:hAnsi="宋体"/>
                <w:szCs w:val="21"/>
              </w:rPr>
              <w:t>场内</w:t>
            </w:r>
            <w:r>
              <w:rPr>
                <w:rFonts w:ascii="宋体" w:hAnsi="宋体"/>
                <w:szCs w:val="21"/>
              </w:rPr>
              <w:t>现有机台</w:t>
            </w:r>
            <w:r>
              <w:rPr>
                <w:rFonts w:hint="eastAsia" w:ascii="宋体" w:hAnsi="宋体"/>
                <w:szCs w:val="21"/>
              </w:rPr>
              <w:t>同</w:t>
            </w:r>
            <w:r>
              <w:rPr>
                <w:rFonts w:ascii="宋体" w:hAnsi="宋体"/>
                <w:szCs w:val="21"/>
              </w:rPr>
              <w:t>机种打标出来的</w:t>
            </w:r>
            <w:r>
              <w:rPr>
                <w:rFonts w:hint="eastAsia" w:ascii="宋体" w:hAnsi="宋体"/>
                <w:szCs w:val="21"/>
              </w:rPr>
              <w:t>字符</w:t>
            </w:r>
            <w:r>
              <w:rPr>
                <w:rFonts w:ascii="宋体" w:hAnsi="宋体"/>
                <w:szCs w:val="21"/>
              </w:rPr>
              <w:t>号一致。</w:t>
            </w:r>
            <w:r>
              <w:rPr>
                <w:rFonts w:hint="eastAsia" w:ascii="宋体" w:hAnsi="宋体"/>
                <w:szCs w:val="21"/>
              </w:rPr>
              <w:t>并将场内</w:t>
            </w:r>
            <w:r>
              <w:rPr>
                <w:rFonts w:hint="eastAsia" w:ascii="宋体" w:hAnsi="宋体"/>
                <w:strike/>
                <w:szCs w:val="21"/>
              </w:rPr>
              <w:t>其余4台机同步升级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color w:val="FF0000"/>
                <w:szCs w:val="21"/>
              </w:rPr>
              <w:t>2020</w:t>
            </w:r>
            <w:r>
              <w:rPr>
                <w:rFonts w:hint="eastAsia" w:ascii="宋体" w:hAnsi="宋体"/>
                <w:color w:val="FF0000"/>
                <w:szCs w:val="21"/>
              </w:rPr>
              <w:t>年以后交货的机台</w:t>
            </w:r>
            <w:r>
              <w:rPr>
                <w:rFonts w:hint="eastAsia" w:ascii="宋体" w:hAnsi="宋体"/>
                <w:szCs w:val="21"/>
              </w:rPr>
              <w:t>，</w:t>
            </w:r>
            <w:r>
              <w:rPr>
                <w:rFonts w:ascii="宋体" w:hAnsi="宋体"/>
                <w:szCs w:val="21"/>
              </w:rPr>
              <w:t>打标完成后可以手动导出流水码</w:t>
            </w:r>
            <w:r>
              <w:rPr>
                <w:rFonts w:hint="eastAsia" w:ascii="宋体" w:hAnsi="宋体"/>
                <w:szCs w:val="21"/>
              </w:rPr>
              <w:t>Map，T</w:t>
            </w:r>
            <w:r>
              <w:rPr>
                <w:rFonts w:ascii="宋体" w:hAnsi="宋体"/>
                <w:szCs w:val="21"/>
              </w:rPr>
              <w:t>XT或</w:t>
            </w:r>
            <w:r>
              <w:rPr>
                <w:rFonts w:hint="eastAsia" w:ascii="宋体" w:hAnsi="宋体"/>
                <w:szCs w:val="21"/>
              </w:rPr>
              <w:t>E</w:t>
            </w:r>
            <w:r>
              <w:rPr>
                <w:rFonts w:ascii="宋体" w:hAnsi="宋体"/>
                <w:szCs w:val="21"/>
              </w:rPr>
              <w:t>XL格式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 w14:paraId="0D8D4379">
            <w:pPr>
              <w:rPr>
                <w:rFonts w:hint="eastAsia" w:ascii="宋体" w:hAnsi="宋体"/>
                <w:szCs w:val="21"/>
              </w:rPr>
            </w:pPr>
          </w:p>
          <w:p w14:paraId="3A75BE78">
            <w:pPr>
              <w:rPr>
                <w:rFonts w:hint="eastAsia" w:ascii="宋体" w:hAnsi="宋体"/>
                <w:b/>
                <w:bCs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FF0000"/>
                <w:szCs w:val="21"/>
                <w:lang w:val="en-US" w:eastAsia="zh-CN"/>
              </w:rPr>
              <w:t>解决方法：</w:t>
            </w:r>
          </w:p>
          <w:p w14:paraId="318E9044">
            <w:pPr>
              <w:numPr>
                <w:ilvl w:val="0"/>
                <w:numId w:val="4"/>
              </w:numPr>
              <w:rPr>
                <w:rFonts w:hint="eastAsia" w:ascii="宋体" w:hAnsi="宋体"/>
                <w:b/>
                <w:bCs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FF0000"/>
                <w:szCs w:val="21"/>
                <w:lang w:val="en-US" w:eastAsia="zh-CN"/>
              </w:rPr>
              <w:t>将流水码导出为txt格式的文件。</w:t>
            </w:r>
          </w:p>
          <w:p w14:paraId="17360991">
            <w:pPr>
              <w:numPr>
                <w:ilvl w:val="0"/>
                <w:numId w:val="4"/>
              </w:numPr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FF0000"/>
                <w:szCs w:val="21"/>
                <w:lang w:val="en-US" w:eastAsia="zh-CN"/>
              </w:rPr>
              <w:t>超过99999字符数据后，可以用字符A代替首字符，可以自由配置替代字符。</w:t>
            </w:r>
          </w:p>
        </w:tc>
        <w:tc>
          <w:tcPr>
            <w:tcW w:w="1418" w:type="dxa"/>
          </w:tcPr>
          <w:p w14:paraId="488455F1">
            <w:pPr>
              <w:rPr>
                <w:color w:val="000000"/>
              </w:rPr>
            </w:pPr>
          </w:p>
        </w:tc>
        <w:tc>
          <w:tcPr>
            <w:tcW w:w="1276" w:type="dxa"/>
          </w:tcPr>
          <w:p w14:paraId="168C2F15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2473F655">
            <w:pPr>
              <w:rPr>
                <w:color w:val="000000"/>
              </w:rPr>
            </w:pPr>
          </w:p>
        </w:tc>
      </w:tr>
      <w:tr w14:paraId="45A8F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1800" w:type="dxa"/>
            <w:vMerge w:val="continue"/>
          </w:tcPr>
          <w:p w14:paraId="38B4725B">
            <w:pPr>
              <w:rPr>
                <w:color w:val="000000"/>
                <w:szCs w:val="21"/>
              </w:rPr>
            </w:pPr>
          </w:p>
        </w:tc>
        <w:tc>
          <w:tcPr>
            <w:tcW w:w="2340" w:type="dxa"/>
          </w:tcPr>
          <w:p w14:paraId="4859212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打标偏移</w:t>
            </w:r>
          </w:p>
        </w:tc>
        <w:tc>
          <w:tcPr>
            <w:tcW w:w="5953" w:type="dxa"/>
          </w:tcPr>
          <w:p w14:paraId="59D54A23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试打2颗Die正常后，整版打标不会发生偏移现象；</w:t>
            </w:r>
          </w:p>
          <w:p w14:paraId="58E27065">
            <w:pPr>
              <w:rPr>
                <w:rFonts w:hint="eastAsia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若机台维修或保养导致有偏移现象</w:t>
            </w:r>
            <w:r>
              <w:rPr>
                <w:rFonts w:hint="eastAsia"/>
                <w:color w:val="000000"/>
                <w:szCs w:val="21"/>
              </w:rPr>
              <w:t>，</w:t>
            </w:r>
            <w:r>
              <w:rPr>
                <w:color w:val="000000"/>
                <w:szCs w:val="21"/>
              </w:rPr>
              <w:t>可以通过调试公共参数补偿所有</w:t>
            </w:r>
            <w:r>
              <w:rPr>
                <w:rFonts w:hint="eastAsia"/>
                <w:color w:val="000000"/>
                <w:szCs w:val="21"/>
              </w:rPr>
              <w:t>，</w:t>
            </w:r>
            <w:r>
              <w:rPr>
                <w:color w:val="000000"/>
                <w:szCs w:val="21"/>
              </w:rPr>
              <w:t>不需要单个程式</w:t>
            </w:r>
            <w:r>
              <w:rPr>
                <w:rFonts w:hint="eastAsia"/>
                <w:color w:val="000000"/>
                <w:szCs w:val="21"/>
              </w:rPr>
              <w:t>调试</w:t>
            </w:r>
          </w:p>
          <w:p w14:paraId="076A2192">
            <w:pPr>
              <w:rPr>
                <w:rFonts w:hint="eastAsia"/>
                <w:color w:val="000000"/>
                <w:szCs w:val="21"/>
              </w:rPr>
            </w:pPr>
          </w:p>
          <w:p w14:paraId="40365900">
            <w:pPr>
              <w:rPr>
                <w:rFonts w:hint="eastAsia"/>
                <w:color w:val="000000"/>
                <w:szCs w:val="21"/>
              </w:rPr>
            </w:pPr>
          </w:p>
          <w:p w14:paraId="4EF88F7E">
            <w:pPr>
              <w:rPr>
                <w:rFonts w:hint="eastAsia"/>
                <w:color w:val="000000"/>
                <w:szCs w:val="21"/>
              </w:rPr>
            </w:pPr>
          </w:p>
          <w:p w14:paraId="7A3E310F">
            <w:pPr>
              <w:rPr>
                <w:rFonts w:hint="eastAsia"/>
                <w:color w:val="000000"/>
                <w:szCs w:val="21"/>
              </w:rPr>
            </w:pPr>
          </w:p>
          <w:p w14:paraId="6F917A2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18" w:type="dxa"/>
          </w:tcPr>
          <w:p w14:paraId="03144016">
            <w:pPr>
              <w:rPr>
                <w:color w:val="000000"/>
              </w:rPr>
            </w:pPr>
          </w:p>
        </w:tc>
        <w:tc>
          <w:tcPr>
            <w:tcW w:w="1276" w:type="dxa"/>
          </w:tcPr>
          <w:p w14:paraId="7AA910D7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57E0C00B">
            <w:pPr>
              <w:rPr>
                <w:color w:val="000000"/>
              </w:rPr>
            </w:pPr>
          </w:p>
        </w:tc>
      </w:tr>
      <w:tr w14:paraId="47F5C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800" w:type="dxa"/>
            <w:vMerge w:val="continue"/>
          </w:tcPr>
          <w:p w14:paraId="5D0D99A4">
            <w:pPr>
              <w:rPr>
                <w:color w:val="000000"/>
                <w:szCs w:val="21"/>
              </w:rPr>
            </w:pPr>
          </w:p>
        </w:tc>
        <w:tc>
          <w:tcPr>
            <w:tcW w:w="2340" w:type="dxa"/>
          </w:tcPr>
          <w:p w14:paraId="50B86432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重复</w:t>
            </w:r>
            <w:r>
              <w:rPr>
                <w:color w:val="000000"/>
                <w:szCs w:val="21"/>
              </w:rPr>
              <w:t>打标</w:t>
            </w:r>
          </w:p>
        </w:tc>
        <w:tc>
          <w:tcPr>
            <w:tcW w:w="5953" w:type="dxa"/>
          </w:tcPr>
          <w:p w14:paraId="646C10B1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不可</w:t>
            </w:r>
            <w:r>
              <w:rPr>
                <w:color w:val="000000"/>
                <w:szCs w:val="21"/>
              </w:rPr>
              <w:t>出现重复打标问题</w:t>
            </w:r>
          </w:p>
        </w:tc>
        <w:tc>
          <w:tcPr>
            <w:tcW w:w="1418" w:type="dxa"/>
          </w:tcPr>
          <w:p w14:paraId="167D76D8">
            <w:pPr>
              <w:rPr>
                <w:color w:val="000000"/>
              </w:rPr>
            </w:pPr>
          </w:p>
        </w:tc>
        <w:tc>
          <w:tcPr>
            <w:tcW w:w="1276" w:type="dxa"/>
          </w:tcPr>
          <w:p w14:paraId="5AE0E104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6B36D542">
            <w:pPr>
              <w:rPr>
                <w:color w:val="000000"/>
              </w:rPr>
            </w:pPr>
          </w:p>
        </w:tc>
      </w:tr>
      <w:tr w14:paraId="46175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800" w:type="dxa"/>
            <w:vMerge w:val="continue"/>
          </w:tcPr>
          <w:p w14:paraId="43E09261">
            <w:pPr>
              <w:rPr>
                <w:color w:val="000000"/>
                <w:szCs w:val="21"/>
              </w:rPr>
            </w:pPr>
          </w:p>
        </w:tc>
        <w:tc>
          <w:tcPr>
            <w:tcW w:w="2340" w:type="dxa"/>
          </w:tcPr>
          <w:p w14:paraId="426CD5D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打标字体深度均匀性</w:t>
            </w:r>
          </w:p>
        </w:tc>
        <w:tc>
          <w:tcPr>
            <w:tcW w:w="5953" w:type="dxa"/>
          </w:tcPr>
          <w:p w14:paraId="17F5F472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单线条和交叉位置≤</w:t>
            </w:r>
            <w:r>
              <w:rPr>
                <w:color w:val="000000"/>
                <w:szCs w:val="21"/>
              </w:rPr>
              <w:t>3um</w:t>
            </w:r>
            <w:r>
              <w:rPr>
                <w:rFonts w:hint="eastAsia"/>
                <w:color w:val="000000"/>
                <w:szCs w:val="21"/>
              </w:rPr>
              <w:t>，</w:t>
            </w:r>
            <w:r>
              <w:rPr>
                <w:color w:val="000000"/>
                <w:szCs w:val="21"/>
              </w:rPr>
              <w:t>且打标后同轴光和环形光显微镜下清晰可见</w:t>
            </w:r>
          </w:p>
        </w:tc>
        <w:tc>
          <w:tcPr>
            <w:tcW w:w="1418" w:type="dxa"/>
          </w:tcPr>
          <w:p w14:paraId="2932248B">
            <w:pPr>
              <w:rPr>
                <w:color w:val="000000"/>
              </w:rPr>
            </w:pPr>
          </w:p>
        </w:tc>
        <w:tc>
          <w:tcPr>
            <w:tcW w:w="1276" w:type="dxa"/>
          </w:tcPr>
          <w:p w14:paraId="097D87B2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2B59D998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笔交叉和起始地方深度≤1</w:t>
            </w:r>
            <w:r>
              <w:rPr>
                <w:color w:val="FF0000"/>
              </w:rPr>
              <w:t>0um</w:t>
            </w:r>
          </w:p>
          <w:p w14:paraId="336DBCB1">
            <w:pPr>
              <w:jc w:val="center"/>
            </w:pPr>
          </w:p>
        </w:tc>
      </w:tr>
      <w:tr w14:paraId="121DA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800" w:type="dxa"/>
            <w:vMerge w:val="continue"/>
          </w:tcPr>
          <w:p w14:paraId="73C654BF">
            <w:pPr>
              <w:rPr>
                <w:color w:val="000000"/>
                <w:szCs w:val="21"/>
              </w:rPr>
            </w:pPr>
          </w:p>
        </w:tc>
        <w:tc>
          <w:tcPr>
            <w:tcW w:w="2340" w:type="dxa"/>
          </w:tcPr>
          <w:p w14:paraId="6BAF61EF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对位打标方式</w:t>
            </w:r>
          </w:p>
        </w:tc>
        <w:tc>
          <w:tcPr>
            <w:tcW w:w="5953" w:type="dxa"/>
          </w:tcPr>
          <w:p w14:paraId="499ACE90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支持正对位正打标，对位时晶圆有相应的两个mark点。</w:t>
            </w:r>
          </w:p>
        </w:tc>
        <w:tc>
          <w:tcPr>
            <w:tcW w:w="1418" w:type="dxa"/>
          </w:tcPr>
          <w:p w14:paraId="6682B91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14:paraId="46A840BF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47C55F7E">
            <w:pPr>
              <w:rPr>
                <w:color w:val="000000"/>
              </w:rPr>
            </w:pPr>
          </w:p>
        </w:tc>
      </w:tr>
      <w:tr w14:paraId="6F58D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800" w:type="dxa"/>
            <w:vMerge w:val="continue"/>
          </w:tcPr>
          <w:p w14:paraId="1FC6A0B0">
            <w:pPr>
              <w:rPr>
                <w:color w:val="000000"/>
                <w:szCs w:val="21"/>
              </w:rPr>
            </w:pPr>
          </w:p>
        </w:tc>
        <w:tc>
          <w:tcPr>
            <w:tcW w:w="2340" w:type="dxa"/>
          </w:tcPr>
          <w:p w14:paraId="3DEB2056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打标间距确认</w:t>
            </w:r>
          </w:p>
        </w:tc>
        <w:tc>
          <w:tcPr>
            <w:tcW w:w="5953" w:type="dxa"/>
          </w:tcPr>
          <w:p w14:paraId="1984292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能满足Ball间隔220um的打标需求</w:t>
            </w:r>
          </w:p>
        </w:tc>
        <w:tc>
          <w:tcPr>
            <w:tcW w:w="1418" w:type="dxa"/>
          </w:tcPr>
          <w:p w14:paraId="722C2C43">
            <w:pPr>
              <w:rPr>
                <w:color w:val="000000"/>
              </w:rPr>
            </w:pPr>
          </w:p>
        </w:tc>
        <w:tc>
          <w:tcPr>
            <w:tcW w:w="1276" w:type="dxa"/>
          </w:tcPr>
          <w:p w14:paraId="01BE5636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5A33A30B">
            <w:pPr>
              <w:rPr>
                <w:color w:val="000000"/>
              </w:rPr>
            </w:pPr>
          </w:p>
        </w:tc>
      </w:tr>
      <w:tr w14:paraId="3F7E2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800" w:type="dxa"/>
            <w:vMerge w:val="continue"/>
          </w:tcPr>
          <w:p w14:paraId="09DFFCC5">
            <w:pPr>
              <w:rPr>
                <w:color w:val="000000"/>
                <w:szCs w:val="21"/>
              </w:rPr>
            </w:pPr>
          </w:p>
        </w:tc>
        <w:tc>
          <w:tcPr>
            <w:tcW w:w="2340" w:type="dxa"/>
          </w:tcPr>
          <w:p w14:paraId="4CC6BC99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激光</w:t>
            </w:r>
            <w:r>
              <w:rPr>
                <w:color w:val="000000"/>
                <w:szCs w:val="21"/>
              </w:rPr>
              <w:t>能量</w:t>
            </w:r>
            <w:r>
              <w:rPr>
                <w:rFonts w:hint="eastAsia"/>
                <w:color w:val="000000"/>
                <w:szCs w:val="21"/>
              </w:rPr>
              <w:t>检测</w:t>
            </w:r>
          </w:p>
        </w:tc>
        <w:tc>
          <w:tcPr>
            <w:tcW w:w="5953" w:type="dxa"/>
          </w:tcPr>
          <w:p w14:paraId="7505C90A">
            <w:r>
              <w:t>机台提供激光能量测量仪器</w:t>
            </w:r>
          </w:p>
          <w:p w14:paraId="230F2C2D"/>
          <w:p w14:paraId="5A452C6F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解决方法：提供功率计，打一片，验证一次。</w:t>
            </w:r>
            <w:bookmarkStart w:id="8" w:name="_GoBack"/>
            <w:bookmarkEnd w:id="8"/>
          </w:p>
        </w:tc>
        <w:tc>
          <w:tcPr>
            <w:tcW w:w="1418" w:type="dxa"/>
          </w:tcPr>
          <w:p w14:paraId="3FE81423">
            <w:pPr>
              <w:rPr>
                <w:color w:val="000000"/>
              </w:rPr>
            </w:pPr>
          </w:p>
        </w:tc>
        <w:tc>
          <w:tcPr>
            <w:tcW w:w="1276" w:type="dxa"/>
          </w:tcPr>
          <w:p w14:paraId="1DBD7AB9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479E4639">
            <w:pPr>
              <w:rPr>
                <w:color w:val="000000"/>
              </w:rPr>
            </w:pPr>
          </w:p>
        </w:tc>
      </w:tr>
      <w:tr w14:paraId="4F683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800" w:type="dxa"/>
            <w:vMerge w:val="continue"/>
          </w:tcPr>
          <w:p w14:paraId="5145375D">
            <w:pPr>
              <w:rPr>
                <w:color w:val="000000"/>
                <w:szCs w:val="21"/>
              </w:rPr>
            </w:pPr>
          </w:p>
        </w:tc>
        <w:tc>
          <w:tcPr>
            <w:tcW w:w="2340" w:type="dxa"/>
          </w:tcPr>
          <w:p w14:paraId="6145578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可编程自动找点作业功能</w:t>
            </w:r>
          </w:p>
        </w:tc>
        <w:tc>
          <w:tcPr>
            <w:tcW w:w="5953" w:type="dxa"/>
          </w:tcPr>
          <w:p w14:paraId="338773B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CCD具备可调聚焦功能，对同一机种的产品无须再次调焦或改变光源强度就能连续作业</w:t>
            </w:r>
          </w:p>
          <w:p w14:paraId="310E04ED">
            <w:pPr>
              <w:rPr>
                <w:color w:val="000000"/>
              </w:rPr>
            </w:pPr>
          </w:p>
        </w:tc>
        <w:tc>
          <w:tcPr>
            <w:tcW w:w="1418" w:type="dxa"/>
          </w:tcPr>
          <w:p w14:paraId="7974D656">
            <w:pPr>
              <w:rPr>
                <w:color w:val="000000"/>
              </w:rPr>
            </w:pPr>
          </w:p>
        </w:tc>
        <w:tc>
          <w:tcPr>
            <w:tcW w:w="1276" w:type="dxa"/>
          </w:tcPr>
          <w:p w14:paraId="65755602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28301068">
            <w:pPr>
              <w:rPr>
                <w:color w:val="000000"/>
              </w:rPr>
            </w:pPr>
          </w:p>
        </w:tc>
      </w:tr>
    </w:tbl>
    <w:p w14:paraId="20E58832">
      <w:pPr>
        <w:rPr>
          <w:color w:val="000000"/>
        </w:rPr>
      </w:pPr>
      <w:r>
        <w:rPr>
          <w:rFonts w:hint="eastAsia"/>
          <w:color w:val="000000"/>
        </w:rPr>
        <w:t>核准:                                        审核:                                           制表:</w:t>
      </w:r>
    </w:p>
    <w:p w14:paraId="472ACB54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firstLine="3373" w:firstLineChars="1400"/>
        <w:jc w:val="both"/>
        <w:rPr>
          <w:rFonts w:eastAsia="楷体_GB2312"/>
          <w:b/>
          <w:bCs/>
          <w:color w:val="000000"/>
          <w:sz w:val="24"/>
        </w:rPr>
      </w:pPr>
      <w:r>
        <w:rPr>
          <w:rFonts w:eastAsia="楷体_GB2312"/>
          <w:b/>
          <w:color w:val="000000"/>
          <w:sz w:val="24"/>
        </w:rPr>
        <w:drawing>
          <wp:inline distT="0" distB="0" distL="0" distR="0">
            <wp:extent cx="504825" cy="495300"/>
            <wp:effectExtent l="19050" t="0" r="9525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eastAsia="楷体_GB2312"/>
          <w:b/>
          <w:color w:val="000000"/>
          <w:sz w:val="24"/>
        </w:rPr>
        <w:t xml:space="preserve">   </w:t>
      </w:r>
      <w:r>
        <w:rPr>
          <w:rFonts w:hint="eastAsia" w:eastAsia="楷体_GB2312"/>
          <w:b/>
          <w:bCs/>
          <w:color w:val="000000"/>
          <w:sz w:val="32"/>
          <w:szCs w:val="32"/>
        </w:rPr>
        <w:t>华天科技（昆山）电子有限公司</w:t>
      </w:r>
    </w:p>
    <w:p w14:paraId="1EDBD7EC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firstLine="3778" w:firstLineChars="1568"/>
        <w:jc w:val="both"/>
        <w:rPr>
          <w:rFonts w:ascii="宋体" w:cs="宋体"/>
          <w:color w:val="000000"/>
          <w:kern w:val="0"/>
          <w:sz w:val="23"/>
          <w:szCs w:val="23"/>
        </w:rPr>
      </w:pPr>
      <w:r>
        <w:rPr>
          <w:rFonts w:hint="eastAsia" w:eastAsia="楷体_GB2312"/>
          <w:b/>
          <w:bCs/>
          <w:color w:val="000000"/>
          <w:sz w:val="24"/>
        </w:rPr>
        <w:t xml:space="preserve">            </w:t>
      </w:r>
      <w:r>
        <w:rPr>
          <w:rFonts w:hint="eastAsia" w:ascii="宋体" w:cs="宋体"/>
          <w:color w:val="000000"/>
          <w:kern w:val="0"/>
          <w:sz w:val="23"/>
          <w:szCs w:val="23"/>
        </w:rPr>
        <w:t>设备仪器验收Check sheet</w:t>
      </w:r>
    </w:p>
    <w:p w14:paraId="4B5D94E9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/>
        <w:jc w:val="both"/>
        <w:rPr>
          <w:rFonts w:ascii="宋体" w:cs="宋体"/>
          <w:color w:val="000000"/>
          <w:kern w:val="0"/>
          <w:sz w:val="21"/>
          <w:szCs w:val="21"/>
        </w:rPr>
      </w:pPr>
      <w:r>
        <w:rPr>
          <w:rFonts w:hint="eastAsia" w:ascii="宋体" w:cs="宋体"/>
          <w:color w:val="000000"/>
          <w:kern w:val="0"/>
          <w:sz w:val="21"/>
          <w:szCs w:val="21"/>
        </w:rPr>
        <w:t xml:space="preserve">设备名称：打标机               </w:t>
      </w:r>
      <w:r>
        <w:rPr>
          <w:rFonts w:hint="eastAsia" w:ascii="宋体" w:cs="宋体"/>
          <w:color w:val="000000"/>
          <w:kern w:val="0"/>
        </w:rPr>
        <w:t xml:space="preserve">               </w:t>
      </w:r>
      <w:r>
        <w:rPr>
          <w:rFonts w:hint="eastAsia" w:ascii="宋体" w:cs="宋体"/>
          <w:color w:val="000000"/>
          <w:kern w:val="0"/>
          <w:szCs w:val="21"/>
        </w:rPr>
        <w:t xml:space="preserve"> </w:t>
      </w:r>
      <w:r>
        <w:rPr>
          <w:rFonts w:hint="eastAsia" w:ascii="宋体" w:cs="宋体"/>
          <w:color w:val="000000"/>
          <w:kern w:val="0"/>
          <w:sz w:val="21"/>
          <w:szCs w:val="21"/>
        </w:rPr>
        <w:t xml:space="preserve">                                                                </w:t>
      </w:r>
    </w:p>
    <w:tbl>
      <w:tblPr>
        <w:tblStyle w:val="6"/>
        <w:tblW w:w="145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2340"/>
        <w:gridCol w:w="5953"/>
        <w:gridCol w:w="1418"/>
        <w:gridCol w:w="1276"/>
        <w:gridCol w:w="1701"/>
      </w:tblGrid>
      <w:tr w14:paraId="4C3B7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</w:tcPr>
          <w:p w14:paraId="524E87E8">
            <w:pPr>
              <w:rPr>
                <w:color w:val="000000"/>
              </w:rPr>
            </w:pPr>
          </w:p>
        </w:tc>
        <w:tc>
          <w:tcPr>
            <w:tcW w:w="2340" w:type="dxa"/>
          </w:tcPr>
          <w:p w14:paraId="0894FB21">
            <w:pPr>
              <w:ind w:firstLine="525" w:firstLineChars="25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检验项目</w:t>
            </w:r>
          </w:p>
        </w:tc>
        <w:tc>
          <w:tcPr>
            <w:tcW w:w="5953" w:type="dxa"/>
          </w:tcPr>
          <w:p w14:paraId="06B5A931">
            <w:pPr>
              <w:ind w:firstLine="1470" w:firstLineChars="70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内容及标准</w:t>
            </w:r>
          </w:p>
        </w:tc>
        <w:tc>
          <w:tcPr>
            <w:tcW w:w="1418" w:type="dxa"/>
          </w:tcPr>
          <w:p w14:paraId="2496F4F9">
            <w:pPr>
              <w:ind w:firstLine="105" w:firstLineChars="5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验收结果</w:t>
            </w:r>
          </w:p>
        </w:tc>
        <w:tc>
          <w:tcPr>
            <w:tcW w:w="1276" w:type="dxa"/>
          </w:tcPr>
          <w:p w14:paraId="5F5307EC">
            <w:pPr>
              <w:ind w:firstLine="315" w:firstLineChars="15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检验人</w:t>
            </w:r>
          </w:p>
        </w:tc>
        <w:tc>
          <w:tcPr>
            <w:tcW w:w="1701" w:type="dxa"/>
          </w:tcPr>
          <w:p w14:paraId="217060F0">
            <w:pPr>
              <w:ind w:firstLine="735" w:firstLineChars="35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备注</w:t>
            </w:r>
          </w:p>
        </w:tc>
      </w:tr>
      <w:tr w14:paraId="0631A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restart"/>
          </w:tcPr>
          <w:p w14:paraId="43370197">
            <w:pPr>
              <w:rPr>
                <w:color w:val="000000"/>
              </w:rPr>
            </w:pPr>
          </w:p>
          <w:p w14:paraId="6EB33A3F">
            <w:pPr>
              <w:rPr>
                <w:color w:val="000000"/>
              </w:rPr>
            </w:pPr>
          </w:p>
          <w:p w14:paraId="27D005D0">
            <w:pPr>
              <w:rPr>
                <w:color w:val="000000"/>
              </w:rPr>
            </w:pPr>
          </w:p>
          <w:p w14:paraId="592ABA91">
            <w:pPr>
              <w:rPr>
                <w:color w:val="000000"/>
              </w:rPr>
            </w:pPr>
          </w:p>
          <w:p w14:paraId="06586D32">
            <w:pPr>
              <w:rPr>
                <w:color w:val="000000"/>
              </w:rPr>
            </w:pPr>
          </w:p>
          <w:p w14:paraId="427BC2F0">
            <w:pPr>
              <w:rPr>
                <w:color w:val="000000"/>
              </w:rPr>
            </w:pPr>
          </w:p>
          <w:p w14:paraId="1DA36E9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Check sheet  C</w:t>
            </w:r>
          </w:p>
          <w:p w14:paraId="6AAEDE67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稳定性验收</w:t>
            </w:r>
          </w:p>
        </w:tc>
        <w:tc>
          <w:tcPr>
            <w:tcW w:w="2340" w:type="dxa"/>
          </w:tcPr>
          <w:p w14:paraId="224DEDBA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设备稼动率</w:t>
            </w:r>
          </w:p>
        </w:tc>
        <w:tc>
          <w:tcPr>
            <w:tcW w:w="5953" w:type="dxa"/>
          </w:tcPr>
          <w:p w14:paraId="75F6D95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≥97%</w:t>
            </w:r>
          </w:p>
        </w:tc>
        <w:tc>
          <w:tcPr>
            <w:tcW w:w="1418" w:type="dxa"/>
          </w:tcPr>
          <w:p w14:paraId="3635E018">
            <w:pPr>
              <w:rPr>
                <w:color w:val="000000"/>
              </w:rPr>
            </w:pPr>
          </w:p>
        </w:tc>
        <w:tc>
          <w:tcPr>
            <w:tcW w:w="1276" w:type="dxa"/>
          </w:tcPr>
          <w:p w14:paraId="2FE1B7EE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539DBD7B">
            <w:pPr>
              <w:rPr>
                <w:color w:val="000000"/>
              </w:rPr>
            </w:pPr>
          </w:p>
        </w:tc>
      </w:tr>
      <w:tr w14:paraId="35AAF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12AB97E6">
            <w:pPr>
              <w:rPr>
                <w:color w:val="000000"/>
              </w:rPr>
            </w:pPr>
          </w:p>
        </w:tc>
        <w:tc>
          <w:tcPr>
            <w:tcW w:w="2340" w:type="dxa"/>
          </w:tcPr>
          <w:p w14:paraId="5C11D015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设备故障率</w:t>
            </w:r>
          </w:p>
        </w:tc>
        <w:tc>
          <w:tcPr>
            <w:tcW w:w="5953" w:type="dxa"/>
          </w:tcPr>
          <w:p w14:paraId="2064AA3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≤2</w:t>
            </w:r>
            <w:r>
              <w:rPr>
                <w:color w:val="000000"/>
              </w:rPr>
              <w:t xml:space="preserve">% </w:t>
            </w:r>
            <w:r>
              <w:rPr>
                <w:rFonts w:hint="eastAsia"/>
                <w:color w:val="000000"/>
              </w:rPr>
              <w:t>故障时间</w:t>
            </w:r>
            <w:r>
              <w:rPr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总时间</w:t>
            </w:r>
            <w:r>
              <w:rPr>
                <w:color w:val="000000"/>
              </w:rPr>
              <w:t>*100%</w:t>
            </w:r>
          </w:p>
        </w:tc>
        <w:tc>
          <w:tcPr>
            <w:tcW w:w="1418" w:type="dxa"/>
          </w:tcPr>
          <w:p w14:paraId="1C343CA9">
            <w:pPr>
              <w:rPr>
                <w:color w:val="000000"/>
              </w:rPr>
            </w:pPr>
          </w:p>
        </w:tc>
        <w:tc>
          <w:tcPr>
            <w:tcW w:w="1276" w:type="dxa"/>
          </w:tcPr>
          <w:p w14:paraId="7C684D69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7B65E4C1">
            <w:pPr>
              <w:rPr>
                <w:color w:val="000000"/>
              </w:rPr>
            </w:pPr>
          </w:p>
        </w:tc>
      </w:tr>
      <w:tr w14:paraId="240C9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7C6728D9">
            <w:pPr>
              <w:rPr>
                <w:color w:val="000000"/>
              </w:rPr>
            </w:pPr>
          </w:p>
        </w:tc>
        <w:tc>
          <w:tcPr>
            <w:tcW w:w="2340" w:type="dxa"/>
          </w:tcPr>
          <w:p w14:paraId="647C1B0C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设备</w:t>
            </w:r>
            <w:r>
              <w:rPr>
                <w:color w:val="000000"/>
              </w:rPr>
              <w:t>MTBF</w:t>
            </w:r>
          </w:p>
        </w:tc>
        <w:tc>
          <w:tcPr>
            <w:tcW w:w="5953" w:type="dxa"/>
          </w:tcPr>
          <w:p w14:paraId="349B779B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≥</w:t>
            </w:r>
            <w:r>
              <w:rPr>
                <w:color w:val="000000"/>
              </w:rPr>
              <w:t>168Hours</w:t>
            </w:r>
          </w:p>
        </w:tc>
        <w:tc>
          <w:tcPr>
            <w:tcW w:w="1418" w:type="dxa"/>
          </w:tcPr>
          <w:p w14:paraId="61F22741">
            <w:pPr>
              <w:rPr>
                <w:color w:val="000000"/>
              </w:rPr>
            </w:pPr>
          </w:p>
        </w:tc>
        <w:tc>
          <w:tcPr>
            <w:tcW w:w="1276" w:type="dxa"/>
          </w:tcPr>
          <w:p w14:paraId="4B7297A4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76F2DE81">
            <w:pPr>
              <w:rPr>
                <w:color w:val="000000"/>
              </w:rPr>
            </w:pPr>
          </w:p>
        </w:tc>
      </w:tr>
      <w:tr w14:paraId="08F32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70900205">
            <w:pPr>
              <w:rPr>
                <w:color w:val="000000"/>
              </w:rPr>
            </w:pPr>
          </w:p>
        </w:tc>
        <w:tc>
          <w:tcPr>
            <w:tcW w:w="2340" w:type="dxa"/>
          </w:tcPr>
          <w:p w14:paraId="2F0E0243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电气部件</w:t>
            </w:r>
          </w:p>
          <w:p w14:paraId="3089695B">
            <w:pPr>
              <w:rPr>
                <w:color w:val="000000"/>
              </w:rPr>
            </w:pPr>
          </w:p>
        </w:tc>
        <w:tc>
          <w:tcPr>
            <w:tcW w:w="5953" w:type="dxa"/>
          </w:tcPr>
          <w:p w14:paraId="57F48E08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个月内无破损现象，机台各个接口不可出现松动，接错及接触性不良的现象。</w:t>
            </w:r>
            <w:r>
              <w:rPr>
                <w:color w:val="000000"/>
              </w:rPr>
              <w:t>EMO</w:t>
            </w:r>
            <w:r>
              <w:rPr>
                <w:rFonts w:hint="eastAsia"/>
                <w:color w:val="000000"/>
              </w:rPr>
              <w:t>保持正常</w:t>
            </w:r>
          </w:p>
        </w:tc>
        <w:tc>
          <w:tcPr>
            <w:tcW w:w="1418" w:type="dxa"/>
          </w:tcPr>
          <w:p w14:paraId="6B1DFCF9">
            <w:pPr>
              <w:rPr>
                <w:color w:val="000000"/>
              </w:rPr>
            </w:pPr>
          </w:p>
        </w:tc>
        <w:tc>
          <w:tcPr>
            <w:tcW w:w="1276" w:type="dxa"/>
          </w:tcPr>
          <w:p w14:paraId="772D8684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6A37A76A">
            <w:pPr>
              <w:rPr>
                <w:color w:val="000000"/>
              </w:rPr>
            </w:pPr>
          </w:p>
        </w:tc>
      </w:tr>
      <w:tr w14:paraId="1B859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71F42729">
            <w:pPr>
              <w:rPr>
                <w:color w:val="000000"/>
              </w:rPr>
            </w:pPr>
          </w:p>
        </w:tc>
        <w:tc>
          <w:tcPr>
            <w:tcW w:w="2340" w:type="dxa"/>
          </w:tcPr>
          <w:p w14:paraId="40E7C4EB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硬件方面</w:t>
            </w:r>
          </w:p>
        </w:tc>
        <w:tc>
          <w:tcPr>
            <w:tcW w:w="5953" w:type="dxa"/>
          </w:tcPr>
          <w:p w14:paraId="16C2AD0F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个月内机台所有硬件需保证运行正常无故障，如有故障，厂商负责免费对设备进行维修和硬件的提供。</w:t>
            </w:r>
          </w:p>
        </w:tc>
        <w:tc>
          <w:tcPr>
            <w:tcW w:w="1418" w:type="dxa"/>
          </w:tcPr>
          <w:p w14:paraId="22787108">
            <w:pPr>
              <w:rPr>
                <w:color w:val="000000"/>
              </w:rPr>
            </w:pPr>
          </w:p>
        </w:tc>
        <w:tc>
          <w:tcPr>
            <w:tcW w:w="1276" w:type="dxa"/>
          </w:tcPr>
          <w:p w14:paraId="4B28A2F9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675B0D80">
            <w:pPr>
              <w:rPr>
                <w:color w:val="000000"/>
              </w:rPr>
            </w:pPr>
          </w:p>
        </w:tc>
      </w:tr>
      <w:tr w14:paraId="2475A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432DED2E">
            <w:pPr>
              <w:rPr>
                <w:color w:val="000000"/>
              </w:rPr>
            </w:pPr>
          </w:p>
        </w:tc>
        <w:tc>
          <w:tcPr>
            <w:tcW w:w="2340" w:type="dxa"/>
          </w:tcPr>
          <w:p w14:paraId="199FE444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控制系统</w:t>
            </w:r>
          </w:p>
        </w:tc>
        <w:tc>
          <w:tcPr>
            <w:tcW w:w="5953" w:type="dxa"/>
          </w:tcPr>
          <w:p w14:paraId="01A4D8CA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个月内不会出现软件失控，及死机现象，操作面板失效异常。如有死机现象，厂商提供免费的系统改进或升级。</w:t>
            </w:r>
          </w:p>
        </w:tc>
        <w:tc>
          <w:tcPr>
            <w:tcW w:w="1418" w:type="dxa"/>
          </w:tcPr>
          <w:p w14:paraId="7A7D229B">
            <w:pPr>
              <w:rPr>
                <w:color w:val="000000"/>
              </w:rPr>
            </w:pPr>
          </w:p>
        </w:tc>
        <w:tc>
          <w:tcPr>
            <w:tcW w:w="1276" w:type="dxa"/>
          </w:tcPr>
          <w:p w14:paraId="38BCDCA3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779798A2">
            <w:pPr>
              <w:rPr>
                <w:color w:val="000000"/>
              </w:rPr>
            </w:pPr>
          </w:p>
        </w:tc>
      </w:tr>
      <w:tr w14:paraId="496A8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4C2F0185">
            <w:pPr>
              <w:rPr>
                <w:color w:val="000000"/>
              </w:rPr>
            </w:pPr>
          </w:p>
        </w:tc>
        <w:tc>
          <w:tcPr>
            <w:tcW w:w="2340" w:type="dxa"/>
          </w:tcPr>
          <w:p w14:paraId="3AD29B36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警报系统</w:t>
            </w:r>
          </w:p>
          <w:p w14:paraId="03244BB4">
            <w:pPr>
              <w:rPr>
                <w:color w:val="000000"/>
              </w:rPr>
            </w:pPr>
          </w:p>
        </w:tc>
        <w:tc>
          <w:tcPr>
            <w:tcW w:w="5953" w:type="dxa"/>
          </w:tcPr>
          <w:p w14:paraId="14CC3E6A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机台警报系统需要保证正常且包含蜂鸣器及三色灯，四色灯意义：</w:t>
            </w:r>
          </w:p>
          <w:p w14:paraId="0FF4E38A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红灯：报警</w:t>
            </w:r>
          </w:p>
          <w:p w14:paraId="4829E12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黄灯：待机</w:t>
            </w:r>
          </w:p>
          <w:p w14:paraId="5A6FC8D2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绿灯：正常生产</w:t>
            </w:r>
          </w:p>
          <w:p w14:paraId="638982C7">
            <w:pPr>
              <w:rPr>
                <w:color w:val="000000"/>
              </w:rPr>
            </w:pPr>
            <w:r>
              <w:rPr>
                <w:rFonts w:hint="eastAsia"/>
              </w:rPr>
              <w:t>蓝灯：E</w:t>
            </w:r>
            <w:r>
              <w:t>AP</w:t>
            </w:r>
            <w:r>
              <w:rPr>
                <w:rFonts w:hint="eastAsia"/>
              </w:rPr>
              <w:t>生产中</w:t>
            </w:r>
          </w:p>
        </w:tc>
        <w:tc>
          <w:tcPr>
            <w:tcW w:w="1418" w:type="dxa"/>
          </w:tcPr>
          <w:p w14:paraId="4BFDD77E">
            <w:pPr>
              <w:rPr>
                <w:color w:val="000000"/>
              </w:rPr>
            </w:pPr>
          </w:p>
        </w:tc>
        <w:tc>
          <w:tcPr>
            <w:tcW w:w="1276" w:type="dxa"/>
          </w:tcPr>
          <w:p w14:paraId="4C0B6627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2A80698B">
            <w:pPr>
              <w:rPr>
                <w:color w:val="000000"/>
              </w:rPr>
            </w:pPr>
          </w:p>
        </w:tc>
      </w:tr>
    </w:tbl>
    <w:p w14:paraId="71E36B1B">
      <w:pPr>
        <w:rPr>
          <w:color w:val="000000"/>
        </w:rPr>
      </w:pPr>
      <w:r>
        <w:rPr>
          <w:rFonts w:hint="eastAsia"/>
          <w:color w:val="000000"/>
        </w:rPr>
        <w:t>核准:                                        审核:                                            制表:</w:t>
      </w:r>
    </w:p>
    <w:p w14:paraId="32A09B4B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253" w:firstLineChars="1350"/>
        <w:jc w:val="both"/>
        <w:rPr>
          <w:rFonts w:eastAsia="楷体_GB2312"/>
          <w:b/>
          <w:color w:val="000000"/>
          <w:sz w:val="24"/>
        </w:rPr>
      </w:pPr>
    </w:p>
    <w:p w14:paraId="647044DA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253" w:firstLineChars="1350"/>
        <w:jc w:val="both"/>
        <w:rPr>
          <w:rFonts w:eastAsia="楷体_GB2312"/>
          <w:b/>
          <w:color w:val="000000"/>
          <w:sz w:val="24"/>
        </w:rPr>
      </w:pPr>
    </w:p>
    <w:p w14:paraId="4CC5622B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253" w:firstLineChars="1350"/>
        <w:jc w:val="both"/>
        <w:rPr>
          <w:rFonts w:eastAsia="楷体_GB2312"/>
          <w:b/>
          <w:color w:val="000000"/>
          <w:sz w:val="24"/>
        </w:rPr>
      </w:pPr>
    </w:p>
    <w:p w14:paraId="27338EE8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253" w:firstLineChars="1350"/>
        <w:jc w:val="both"/>
        <w:rPr>
          <w:rFonts w:eastAsia="楷体_GB2312"/>
          <w:b/>
          <w:color w:val="000000"/>
          <w:sz w:val="24"/>
        </w:rPr>
      </w:pPr>
    </w:p>
    <w:p w14:paraId="2BF67AD0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253" w:firstLineChars="1350"/>
        <w:jc w:val="both"/>
        <w:rPr>
          <w:rFonts w:eastAsia="楷体_GB2312"/>
          <w:b/>
          <w:color w:val="000000"/>
          <w:sz w:val="24"/>
        </w:rPr>
      </w:pPr>
    </w:p>
    <w:p w14:paraId="5568668E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253" w:firstLineChars="1350"/>
        <w:jc w:val="both"/>
        <w:rPr>
          <w:rFonts w:eastAsia="楷体_GB2312"/>
          <w:b/>
          <w:color w:val="000000"/>
          <w:sz w:val="24"/>
        </w:rPr>
      </w:pPr>
    </w:p>
    <w:p w14:paraId="35732AB5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253" w:firstLineChars="1350"/>
        <w:jc w:val="both"/>
        <w:rPr>
          <w:rFonts w:eastAsia="楷体_GB2312"/>
          <w:b/>
          <w:color w:val="000000"/>
          <w:sz w:val="24"/>
        </w:rPr>
      </w:pPr>
    </w:p>
    <w:p w14:paraId="70BE8CD0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253" w:firstLineChars="1350"/>
        <w:jc w:val="both"/>
        <w:rPr>
          <w:rFonts w:eastAsia="楷体_GB2312"/>
          <w:b/>
          <w:color w:val="000000"/>
          <w:sz w:val="24"/>
        </w:rPr>
      </w:pPr>
    </w:p>
    <w:p w14:paraId="1524C5E4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253" w:firstLineChars="1350"/>
        <w:jc w:val="both"/>
        <w:rPr>
          <w:rFonts w:eastAsia="楷体_GB2312"/>
          <w:b/>
          <w:color w:val="000000"/>
          <w:sz w:val="24"/>
        </w:rPr>
      </w:pPr>
    </w:p>
    <w:p w14:paraId="48198112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253" w:firstLineChars="1350"/>
        <w:jc w:val="both"/>
        <w:rPr>
          <w:rFonts w:eastAsia="楷体_GB2312"/>
          <w:b/>
          <w:color w:val="000000"/>
          <w:sz w:val="24"/>
        </w:rPr>
      </w:pPr>
    </w:p>
    <w:p w14:paraId="16F8BE89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253" w:firstLineChars="1350"/>
        <w:jc w:val="both"/>
        <w:rPr>
          <w:rFonts w:eastAsia="楷体_GB2312"/>
          <w:b/>
          <w:bCs/>
          <w:color w:val="000000"/>
          <w:sz w:val="24"/>
        </w:rPr>
      </w:pPr>
      <w:r>
        <w:rPr>
          <w:rFonts w:eastAsia="楷体_GB2312"/>
          <w:b/>
          <w:color w:val="000000"/>
          <w:sz w:val="24"/>
        </w:rPr>
        <w:drawing>
          <wp:inline distT="0" distB="0" distL="0" distR="0">
            <wp:extent cx="504825" cy="495300"/>
            <wp:effectExtent l="19050" t="0" r="9525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eastAsia="楷体_GB2312"/>
          <w:b/>
          <w:color w:val="000000"/>
          <w:sz w:val="24"/>
        </w:rPr>
        <w:t xml:space="preserve">    </w:t>
      </w:r>
      <w:r>
        <w:rPr>
          <w:rFonts w:hint="eastAsia" w:eastAsia="楷体_GB2312"/>
          <w:b/>
          <w:bCs/>
          <w:color w:val="000000"/>
          <w:sz w:val="32"/>
          <w:szCs w:val="32"/>
        </w:rPr>
        <w:t>华天科技（昆山）电子有限公司</w:t>
      </w:r>
    </w:p>
    <w:p w14:paraId="2646532E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firstLine="3896" w:firstLineChars="1617"/>
        <w:jc w:val="both"/>
        <w:rPr>
          <w:rFonts w:ascii="宋体" w:cs="宋体"/>
          <w:color w:val="000000"/>
          <w:kern w:val="0"/>
          <w:sz w:val="23"/>
          <w:szCs w:val="23"/>
        </w:rPr>
      </w:pPr>
      <w:r>
        <w:rPr>
          <w:rFonts w:hint="eastAsia" w:eastAsia="楷体_GB2312"/>
          <w:b/>
          <w:bCs/>
          <w:color w:val="000000"/>
          <w:sz w:val="24"/>
        </w:rPr>
        <w:t xml:space="preserve">           </w:t>
      </w:r>
      <w:r>
        <w:rPr>
          <w:rFonts w:hint="eastAsia" w:ascii="宋体" w:cs="宋体"/>
          <w:color w:val="000000"/>
          <w:kern w:val="0"/>
          <w:sz w:val="23"/>
          <w:szCs w:val="23"/>
        </w:rPr>
        <w:t>设备仪器验收Check sheet</w:t>
      </w:r>
    </w:p>
    <w:p w14:paraId="15F7DBC3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/>
        <w:jc w:val="both"/>
        <w:rPr>
          <w:rFonts w:ascii="宋体" w:cs="宋体"/>
          <w:color w:val="000000"/>
          <w:kern w:val="0"/>
          <w:sz w:val="21"/>
          <w:szCs w:val="21"/>
        </w:rPr>
      </w:pPr>
      <w:r>
        <w:rPr>
          <w:rFonts w:hint="eastAsia" w:ascii="宋体" w:cs="宋体"/>
          <w:color w:val="000000"/>
          <w:kern w:val="0"/>
          <w:sz w:val="21"/>
          <w:szCs w:val="21"/>
        </w:rPr>
        <w:t xml:space="preserve">设备名称：打标机              </w:t>
      </w:r>
      <w:r>
        <w:rPr>
          <w:rFonts w:hint="eastAsia" w:ascii="宋体" w:cs="宋体"/>
          <w:color w:val="000000"/>
          <w:kern w:val="0"/>
        </w:rPr>
        <w:t xml:space="preserve">               </w:t>
      </w:r>
      <w:r>
        <w:rPr>
          <w:rFonts w:hint="eastAsia" w:ascii="宋体" w:cs="宋体"/>
          <w:color w:val="000000"/>
          <w:kern w:val="0"/>
          <w:szCs w:val="21"/>
        </w:rPr>
        <w:t xml:space="preserve"> </w:t>
      </w:r>
      <w:r>
        <w:rPr>
          <w:rFonts w:hint="eastAsia" w:ascii="宋体" w:cs="宋体"/>
          <w:color w:val="000000"/>
          <w:kern w:val="0"/>
          <w:sz w:val="21"/>
          <w:szCs w:val="21"/>
        </w:rPr>
        <w:t xml:space="preserve">                                                   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2340"/>
        <w:gridCol w:w="5040"/>
        <w:gridCol w:w="1440"/>
        <w:gridCol w:w="1440"/>
        <w:gridCol w:w="2006"/>
      </w:tblGrid>
      <w:tr w14:paraId="13B29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</w:tcPr>
          <w:p w14:paraId="1CD0D87F">
            <w:pPr>
              <w:rPr>
                <w:color w:val="000000"/>
              </w:rPr>
            </w:pPr>
          </w:p>
        </w:tc>
        <w:tc>
          <w:tcPr>
            <w:tcW w:w="2340" w:type="dxa"/>
          </w:tcPr>
          <w:p w14:paraId="0D4DABDE">
            <w:pPr>
              <w:ind w:firstLine="525" w:firstLineChars="25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检验项目</w:t>
            </w:r>
          </w:p>
        </w:tc>
        <w:tc>
          <w:tcPr>
            <w:tcW w:w="5040" w:type="dxa"/>
          </w:tcPr>
          <w:p w14:paraId="6DB4ED5B">
            <w:pPr>
              <w:ind w:firstLine="1470" w:firstLineChars="70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内容及标准</w:t>
            </w:r>
          </w:p>
        </w:tc>
        <w:tc>
          <w:tcPr>
            <w:tcW w:w="1440" w:type="dxa"/>
          </w:tcPr>
          <w:p w14:paraId="1B7FFCF3">
            <w:pPr>
              <w:ind w:firstLine="105" w:firstLineChars="5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验收结果</w:t>
            </w:r>
          </w:p>
        </w:tc>
        <w:tc>
          <w:tcPr>
            <w:tcW w:w="1440" w:type="dxa"/>
          </w:tcPr>
          <w:p w14:paraId="6DDFD78B">
            <w:pPr>
              <w:ind w:firstLine="315" w:firstLineChars="15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检验人</w:t>
            </w:r>
          </w:p>
        </w:tc>
        <w:tc>
          <w:tcPr>
            <w:tcW w:w="2006" w:type="dxa"/>
          </w:tcPr>
          <w:p w14:paraId="57E59CAD">
            <w:pPr>
              <w:ind w:firstLine="735" w:firstLineChars="35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备注</w:t>
            </w:r>
          </w:p>
        </w:tc>
      </w:tr>
      <w:tr w14:paraId="0B1D6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restart"/>
          </w:tcPr>
          <w:p w14:paraId="32185B7C">
            <w:pPr>
              <w:rPr>
                <w:color w:val="000000"/>
              </w:rPr>
            </w:pPr>
          </w:p>
          <w:p w14:paraId="17DE61C7">
            <w:pPr>
              <w:rPr>
                <w:color w:val="000000"/>
              </w:rPr>
            </w:pPr>
          </w:p>
          <w:p w14:paraId="12306894">
            <w:pPr>
              <w:rPr>
                <w:color w:val="000000"/>
              </w:rPr>
            </w:pPr>
          </w:p>
          <w:p w14:paraId="40BF12CA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Check sheet D</w:t>
            </w:r>
          </w:p>
          <w:p w14:paraId="2028739C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产品质量验收</w:t>
            </w:r>
          </w:p>
        </w:tc>
        <w:tc>
          <w:tcPr>
            <w:tcW w:w="2340" w:type="dxa"/>
          </w:tcPr>
          <w:p w14:paraId="1B0E06F7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生产产品质量</w:t>
            </w:r>
          </w:p>
        </w:tc>
        <w:tc>
          <w:tcPr>
            <w:tcW w:w="5040" w:type="dxa"/>
          </w:tcPr>
          <w:p w14:paraId="637250E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满足产品规格要求</w:t>
            </w:r>
          </w:p>
        </w:tc>
        <w:tc>
          <w:tcPr>
            <w:tcW w:w="1440" w:type="dxa"/>
          </w:tcPr>
          <w:p w14:paraId="45D4F9CE">
            <w:pPr>
              <w:jc w:val="center"/>
              <w:rPr>
                <w:color w:val="000000"/>
              </w:rPr>
            </w:pPr>
          </w:p>
        </w:tc>
        <w:tc>
          <w:tcPr>
            <w:tcW w:w="1440" w:type="dxa"/>
          </w:tcPr>
          <w:p w14:paraId="60DBDA7F">
            <w:pPr>
              <w:jc w:val="center"/>
              <w:rPr>
                <w:color w:val="000000"/>
              </w:rPr>
            </w:pPr>
          </w:p>
        </w:tc>
        <w:tc>
          <w:tcPr>
            <w:tcW w:w="2006" w:type="dxa"/>
          </w:tcPr>
          <w:p w14:paraId="6A524EE3">
            <w:pPr>
              <w:rPr>
                <w:color w:val="000000"/>
              </w:rPr>
            </w:pPr>
          </w:p>
        </w:tc>
      </w:tr>
      <w:tr w14:paraId="51175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0857557F">
            <w:pPr>
              <w:rPr>
                <w:color w:val="000000"/>
              </w:rPr>
            </w:pPr>
          </w:p>
        </w:tc>
        <w:tc>
          <w:tcPr>
            <w:tcW w:w="2340" w:type="dxa"/>
          </w:tcPr>
          <w:p w14:paraId="3F373E14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设备工艺能力</w:t>
            </w:r>
          </w:p>
        </w:tc>
        <w:tc>
          <w:tcPr>
            <w:tcW w:w="5040" w:type="dxa"/>
          </w:tcPr>
          <w:p w14:paraId="766465EB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设备在生产过程中主要参数稳定</w:t>
            </w:r>
          </w:p>
        </w:tc>
        <w:tc>
          <w:tcPr>
            <w:tcW w:w="1440" w:type="dxa"/>
          </w:tcPr>
          <w:p w14:paraId="2F1C3715">
            <w:pPr>
              <w:jc w:val="center"/>
              <w:rPr>
                <w:color w:val="000000"/>
              </w:rPr>
            </w:pPr>
          </w:p>
        </w:tc>
        <w:tc>
          <w:tcPr>
            <w:tcW w:w="1440" w:type="dxa"/>
          </w:tcPr>
          <w:p w14:paraId="794EF3CE">
            <w:pPr>
              <w:jc w:val="center"/>
              <w:rPr>
                <w:color w:val="000000"/>
              </w:rPr>
            </w:pPr>
          </w:p>
        </w:tc>
        <w:tc>
          <w:tcPr>
            <w:tcW w:w="2006" w:type="dxa"/>
          </w:tcPr>
          <w:p w14:paraId="0303456C">
            <w:pPr>
              <w:rPr>
                <w:color w:val="000000"/>
              </w:rPr>
            </w:pPr>
          </w:p>
        </w:tc>
      </w:tr>
      <w:tr w14:paraId="00395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40F6B442">
            <w:pPr>
              <w:rPr>
                <w:color w:val="000000"/>
              </w:rPr>
            </w:pPr>
          </w:p>
        </w:tc>
        <w:tc>
          <w:tcPr>
            <w:tcW w:w="2340" w:type="dxa"/>
          </w:tcPr>
          <w:p w14:paraId="0254CB52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信赖性要求</w:t>
            </w:r>
          </w:p>
        </w:tc>
        <w:tc>
          <w:tcPr>
            <w:tcW w:w="5040" w:type="dxa"/>
          </w:tcPr>
          <w:p w14:paraId="23808AD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产品通过信赖性验证</w:t>
            </w:r>
          </w:p>
        </w:tc>
        <w:tc>
          <w:tcPr>
            <w:tcW w:w="1440" w:type="dxa"/>
          </w:tcPr>
          <w:p w14:paraId="3DDAE31D">
            <w:pPr>
              <w:rPr>
                <w:color w:val="000000"/>
              </w:rPr>
            </w:pPr>
          </w:p>
        </w:tc>
        <w:tc>
          <w:tcPr>
            <w:tcW w:w="1440" w:type="dxa"/>
          </w:tcPr>
          <w:p w14:paraId="62A4E029">
            <w:pPr>
              <w:rPr>
                <w:color w:val="000000"/>
              </w:rPr>
            </w:pPr>
          </w:p>
        </w:tc>
        <w:tc>
          <w:tcPr>
            <w:tcW w:w="2006" w:type="dxa"/>
          </w:tcPr>
          <w:p w14:paraId="40E950F4">
            <w:pPr>
              <w:rPr>
                <w:color w:val="000000"/>
              </w:rPr>
            </w:pPr>
          </w:p>
        </w:tc>
      </w:tr>
      <w:tr w14:paraId="52224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10641A9A">
            <w:pPr>
              <w:rPr>
                <w:color w:val="000000"/>
              </w:rPr>
            </w:pPr>
          </w:p>
        </w:tc>
        <w:tc>
          <w:tcPr>
            <w:tcW w:w="2340" w:type="dxa"/>
          </w:tcPr>
          <w:p w14:paraId="098FB24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防呆要求</w:t>
            </w:r>
          </w:p>
        </w:tc>
        <w:tc>
          <w:tcPr>
            <w:tcW w:w="5040" w:type="dxa"/>
          </w:tcPr>
          <w:p w14:paraId="4F7C1C5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程序选择具备提醒防呆功能，程序设定修改权限可分级别，程序可备份</w:t>
            </w:r>
          </w:p>
        </w:tc>
        <w:tc>
          <w:tcPr>
            <w:tcW w:w="1440" w:type="dxa"/>
          </w:tcPr>
          <w:p w14:paraId="6A9E1344">
            <w:pPr>
              <w:rPr>
                <w:color w:val="000000"/>
              </w:rPr>
            </w:pPr>
          </w:p>
        </w:tc>
        <w:tc>
          <w:tcPr>
            <w:tcW w:w="1440" w:type="dxa"/>
          </w:tcPr>
          <w:p w14:paraId="70817D99">
            <w:pPr>
              <w:rPr>
                <w:color w:val="000000"/>
              </w:rPr>
            </w:pPr>
          </w:p>
        </w:tc>
        <w:tc>
          <w:tcPr>
            <w:tcW w:w="2006" w:type="dxa"/>
          </w:tcPr>
          <w:p w14:paraId="6B7E10CA">
            <w:pPr>
              <w:rPr>
                <w:color w:val="000000"/>
              </w:rPr>
            </w:pPr>
          </w:p>
        </w:tc>
      </w:tr>
      <w:tr w14:paraId="4F76D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382B69EE">
            <w:pPr>
              <w:rPr>
                <w:color w:val="000000"/>
              </w:rPr>
            </w:pPr>
          </w:p>
        </w:tc>
        <w:tc>
          <w:tcPr>
            <w:tcW w:w="2340" w:type="dxa"/>
          </w:tcPr>
          <w:p w14:paraId="6F2C7D3A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设备夹具</w:t>
            </w:r>
          </w:p>
        </w:tc>
        <w:tc>
          <w:tcPr>
            <w:tcW w:w="5040" w:type="dxa"/>
          </w:tcPr>
          <w:p w14:paraId="56D79C55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未发生设备夹具所导致裂片</w:t>
            </w:r>
          </w:p>
        </w:tc>
        <w:tc>
          <w:tcPr>
            <w:tcW w:w="1440" w:type="dxa"/>
          </w:tcPr>
          <w:p w14:paraId="043EAFFF">
            <w:pPr>
              <w:rPr>
                <w:color w:val="000000"/>
              </w:rPr>
            </w:pPr>
          </w:p>
        </w:tc>
        <w:tc>
          <w:tcPr>
            <w:tcW w:w="1440" w:type="dxa"/>
          </w:tcPr>
          <w:p w14:paraId="43FA93D6">
            <w:pPr>
              <w:rPr>
                <w:color w:val="000000"/>
              </w:rPr>
            </w:pPr>
          </w:p>
        </w:tc>
        <w:tc>
          <w:tcPr>
            <w:tcW w:w="2006" w:type="dxa"/>
          </w:tcPr>
          <w:p w14:paraId="52646C8F">
            <w:pPr>
              <w:rPr>
                <w:color w:val="000000"/>
              </w:rPr>
            </w:pPr>
          </w:p>
        </w:tc>
      </w:tr>
      <w:tr w14:paraId="39108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2639A929">
            <w:pPr>
              <w:rPr>
                <w:color w:val="000000"/>
              </w:rPr>
            </w:pPr>
          </w:p>
        </w:tc>
        <w:tc>
          <w:tcPr>
            <w:tcW w:w="2340" w:type="dxa"/>
          </w:tcPr>
          <w:p w14:paraId="194FB0EE">
            <w:pPr>
              <w:rPr>
                <w:color w:val="000000"/>
              </w:rPr>
            </w:pPr>
          </w:p>
        </w:tc>
        <w:tc>
          <w:tcPr>
            <w:tcW w:w="5040" w:type="dxa"/>
          </w:tcPr>
          <w:p w14:paraId="09A965E4">
            <w:pPr>
              <w:rPr>
                <w:color w:val="000000"/>
              </w:rPr>
            </w:pPr>
          </w:p>
        </w:tc>
        <w:tc>
          <w:tcPr>
            <w:tcW w:w="1440" w:type="dxa"/>
          </w:tcPr>
          <w:p w14:paraId="771A996F">
            <w:pPr>
              <w:rPr>
                <w:color w:val="000000"/>
              </w:rPr>
            </w:pPr>
          </w:p>
        </w:tc>
        <w:tc>
          <w:tcPr>
            <w:tcW w:w="1440" w:type="dxa"/>
          </w:tcPr>
          <w:p w14:paraId="4BE29418">
            <w:pPr>
              <w:rPr>
                <w:color w:val="000000"/>
              </w:rPr>
            </w:pPr>
          </w:p>
        </w:tc>
        <w:tc>
          <w:tcPr>
            <w:tcW w:w="2006" w:type="dxa"/>
          </w:tcPr>
          <w:p w14:paraId="2E41BB87">
            <w:pPr>
              <w:rPr>
                <w:color w:val="000000"/>
              </w:rPr>
            </w:pPr>
          </w:p>
        </w:tc>
      </w:tr>
      <w:tr w14:paraId="4C462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6868BA95">
            <w:pPr>
              <w:rPr>
                <w:color w:val="000000"/>
              </w:rPr>
            </w:pPr>
          </w:p>
        </w:tc>
        <w:tc>
          <w:tcPr>
            <w:tcW w:w="2340" w:type="dxa"/>
          </w:tcPr>
          <w:p w14:paraId="39F9216B">
            <w:pPr>
              <w:rPr>
                <w:color w:val="000000"/>
              </w:rPr>
            </w:pPr>
          </w:p>
        </w:tc>
        <w:tc>
          <w:tcPr>
            <w:tcW w:w="5040" w:type="dxa"/>
          </w:tcPr>
          <w:p w14:paraId="2EC423A8">
            <w:pPr>
              <w:rPr>
                <w:color w:val="000000"/>
              </w:rPr>
            </w:pPr>
          </w:p>
        </w:tc>
        <w:tc>
          <w:tcPr>
            <w:tcW w:w="1440" w:type="dxa"/>
          </w:tcPr>
          <w:p w14:paraId="43B42EE6">
            <w:pPr>
              <w:rPr>
                <w:color w:val="000000"/>
              </w:rPr>
            </w:pPr>
          </w:p>
        </w:tc>
        <w:tc>
          <w:tcPr>
            <w:tcW w:w="1440" w:type="dxa"/>
          </w:tcPr>
          <w:p w14:paraId="16A96024">
            <w:pPr>
              <w:rPr>
                <w:color w:val="000000"/>
              </w:rPr>
            </w:pPr>
          </w:p>
        </w:tc>
        <w:tc>
          <w:tcPr>
            <w:tcW w:w="2006" w:type="dxa"/>
          </w:tcPr>
          <w:p w14:paraId="0AFB3B2D">
            <w:pPr>
              <w:rPr>
                <w:color w:val="000000"/>
              </w:rPr>
            </w:pPr>
          </w:p>
        </w:tc>
      </w:tr>
      <w:tr w14:paraId="3F526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016A3A90">
            <w:pPr>
              <w:rPr>
                <w:color w:val="000000"/>
              </w:rPr>
            </w:pPr>
          </w:p>
        </w:tc>
        <w:tc>
          <w:tcPr>
            <w:tcW w:w="2340" w:type="dxa"/>
          </w:tcPr>
          <w:p w14:paraId="18049544">
            <w:pPr>
              <w:rPr>
                <w:color w:val="000000"/>
              </w:rPr>
            </w:pPr>
          </w:p>
        </w:tc>
        <w:tc>
          <w:tcPr>
            <w:tcW w:w="5040" w:type="dxa"/>
          </w:tcPr>
          <w:p w14:paraId="4792FF12">
            <w:pPr>
              <w:rPr>
                <w:color w:val="000000"/>
              </w:rPr>
            </w:pPr>
          </w:p>
        </w:tc>
        <w:tc>
          <w:tcPr>
            <w:tcW w:w="1440" w:type="dxa"/>
          </w:tcPr>
          <w:p w14:paraId="728B7F1D">
            <w:pPr>
              <w:rPr>
                <w:color w:val="000000"/>
              </w:rPr>
            </w:pPr>
          </w:p>
        </w:tc>
        <w:tc>
          <w:tcPr>
            <w:tcW w:w="1440" w:type="dxa"/>
          </w:tcPr>
          <w:p w14:paraId="5688BB71">
            <w:pPr>
              <w:rPr>
                <w:color w:val="000000"/>
              </w:rPr>
            </w:pPr>
          </w:p>
        </w:tc>
        <w:tc>
          <w:tcPr>
            <w:tcW w:w="2006" w:type="dxa"/>
          </w:tcPr>
          <w:p w14:paraId="3932CDF2">
            <w:pPr>
              <w:rPr>
                <w:color w:val="000000"/>
              </w:rPr>
            </w:pPr>
          </w:p>
        </w:tc>
      </w:tr>
    </w:tbl>
    <w:p w14:paraId="6F9198CA">
      <w:pPr>
        <w:rPr>
          <w:color w:val="000000"/>
        </w:rPr>
      </w:pPr>
      <w:r>
        <w:rPr>
          <w:rFonts w:hint="eastAsia"/>
          <w:color w:val="000000"/>
        </w:rPr>
        <w:t>核准:                                        审核:                                            制表:</w:t>
      </w:r>
    </w:p>
    <w:p w14:paraId="25CAA219">
      <w:pPr>
        <w:rPr>
          <w:color w:val="000000"/>
        </w:rPr>
      </w:pPr>
    </w:p>
    <w:p w14:paraId="25FD607F">
      <w:pPr>
        <w:rPr>
          <w:color w:val="000000"/>
        </w:rPr>
      </w:pPr>
    </w:p>
    <w:p w14:paraId="51438F1F">
      <w:pPr>
        <w:rPr>
          <w:color w:val="000000"/>
        </w:rPr>
      </w:pPr>
    </w:p>
    <w:p w14:paraId="73CABB36">
      <w:pPr>
        <w:rPr>
          <w:color w:val="000000"/>
        </w:rPr>
      </w:pPr>
    </w:p>
    <w:p w14:paraId="15B7577F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803" w:firstLineChars="250"/>
        <w:jc w:val="both"/>
        <w:rPr>
          <w:rFonts w:eastAsia="楷体_GB2312"/>
          <w:b/>
          <w:bCs/>
          <w:color w:val="000000"/>
          <w:sz w:val="32"/>
          <w:szCs w:val="32"/>
        </w:rPr>
      </w:pPr>
      <w:r>
        <w:rPr>
          <w:rFonts w:hint="eastAsia" w:eastAsia="楷体_GB2312"/>
          <w:b/>
          <w:bCs/>
          <w:color w:val="000000"/>
          <w:sz w:val="32"/>
          <w:szCs w:val="32"/>
        </w:rPr>
        <w:t xml:space="preserve">                     </w:t>
      </w:r>
    </w:p>
    <w:p w14:paraId="53A96E9A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373" w:firstLineChars="1400"/>
        <w:jc w:val="both"/>
        <w:rPr>
          <w:rFonts w:eastAsia="楷体_GB2312"/>
          <w:b/>
          <w:color w:val="000000"/>
          <w:sz w:val="24"/>
        </w:rPr>
      </w:pPr>
    </w:p>
    <w:p w14:paraId="267072A0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373" w:firstLineChars="1400"/>
        <w:jc w:val="both"/>
        <w:rPr>
          <w:rFonts w:eastAsia="楷体_GB2312"/>
          <w:b/>
          <w:color w:val="000000"/>
          <w:sz w:val="24"/>
        </w:rPr>
      </w:pPr>
    </w:p>
    <w:p w14:paraId="71560DC3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373" w:firstLineChars="1400"/>
        <w:jc w:val="both"/>
        <w:rPr>
          <w:rFonts w:eastAsia="楷体_GB2312"/>
          <w:b/>
          <w:color w:val="000000"/>
          <w:sz w:val="24"/>
        </w:rPr>
      </w:pPr>
    </w:p>
    <w:p w14:paraId="726989CF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373" w:firstLineChars="1400"/>
        <w:jc w:val="both"/>
        <w:rPr>
          <w:rFonts w:eastAsia="楷体_GB2312"/>
          <w:b/>
          <w:color w:val="000000"/>
          <w:sz w:val="24"/>
        </w:rPr>
      </w:pPr>
    </w:p>
    <w:p w14:paraId="56F5824B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373" w:firstLineChars="1400"/>
        <w:jc w:val="both"/>
        <w:rPr>
          <w:rFonts w:eastAsia="楷体_GB2312"/>
          <w:b/>
          <w:color w:val="000000"/>
          <w:sz w:val="24"/>
        </w:rPr>
      </w:pPr>
    </w:p>
    <w:p w14:paraId="63C282BF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373" w:firstLineChars="1400"/>
        <w:jc w:val="both"/>
        <w:rPr>
          <w:rFonts w:eastAsia="楷体_GB2312"/>
          <w:b/>
          <w:color w:val="000000"/>
          <w:sz w:val="24"/>
        </w:rPr>
      </w:pPr>
    </w:p>
    <w:p w14:paraId="778A7E78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373" w:firstLineChars="1400"/>
        <w:jc w:val="both"/>
        <w:rPr>
          <w:rFonts w:eastAsia="楷体_GB2312"/>
          <w:b/>
          <w:color w:val="000000"/>
          <w:sz w:val="24"/>
        </w:rPr>
      </w:pPr>
    </w:p>
    <w:p w14:paraId="38429E6C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373" w:firstLineChars="1400"/>
        <w:jc w:val="both"/>
        <w:rPr>
          <w:rFonts w:eastAsia="楷体_GB2312"/>
          <w:b/>
          <w:color w:val="000000"/>
          <w:sz w:val="24"/>
        </w:rPr>
      </w:pPr>
    </w:p>
    <w:p w14:paraId="1DE41F78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373" w:firstLineChars="1400"/>
        <w:jc w:val="both"/>
        <w:rPr>
          <w:rFonts w:eastAsia="楷体_GB2312"/>
          <w:b/>
          <w:color w:val="000000"/>
          <w:sz w:val="24"/>
        </w:rPr>
      </w:pPr>
    </w:p>
    <w:p w14:paraId="4D84CA78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373" w:firstLineChars="1400"/>
        <w:jc w:val="both"/>
        <w:rPr>
          <w:rFonts w:eastAsia="楷体_GB2312"/>
          <w:b/>
          <w:bCs/>
          <w:color w:val="000000"/>
          <w:sz w:val="24"/>
        </w:rPr>
      </w:pPr>
      <w:r>
        <w:rPr>
          <w:rFonts w:eastAsia="楷体_GB2312"/>
          <w:b/>
          <w:color w:val="000000"/>
          <w:sz w:val="24"/>
        </w:rPr>
        <w:drawing>
          <wp:inline distT="0" distB="0" distL="0" distR="0">
            <wp:extent cx="504825" cy="495300"/>
            <wp:effectExtent l="19050" t="0" r="9525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eastAsia="楷体_GB2312"/>
          <w:b/>
          <w:color w:val="000000"/>
          <w:sz w:val="24"/>
        </w:rPr>
        <w:t xml:space="preserve">    </w:t>
      </w:r>
      <w:r>
        <w:rPr>
          <w:rFonts w:hint="eastAsia" w:eastAsia="楷体_GB2312"/>
          <w:b/>
          <w:bCs/>
          <w:color w:val="000000"/>
          <w:sz w:val="32"/>
          <w:szCs w:val="32"/>
        </w:rPr>
        <w:t>华天科技（昆山）电子有限公司</w:t>
      </w:r>
    </w:p>
    <w:p w14:paraId="56F53B0D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firstLine="3542" w:firstLineChars="1470"/>
        <w:jc w:val="both"/>
        <w:rPr>
          <w:rFonts w:ascii="宋体" w:cs="宋体"/>
          <w:color w:val="000000"/>
          <w:kern w:val="0"/>
          <w:sz w:val="23"/>
          <w:szCs w:val="23"/>
        </w:rPr>
      </w:pPr>
      <w:r>
        <w:rPr>
          <w:rFonts w:hint="eastAsia" w:eastAsia="楷体_GB2312"/>
          <w:b/>
          <w:bCs/>
          <w:color w:val="000000"/>
          <w:sz w:val="24"/>
        </w:rPr>
        <w:t xml:space="preserve">               </w:t>
      </w:r>
      <w:r>
        <w:rPr>
          <w:rFonts w:hint="eastAsia" w:ascii="宋体" w:cs="宋体"/>
          <w:color w:val="000000"/>
          <w:kern w:val="0"/>
          <w:sz w:val="23"/>
          <w:szCs w:val="23"/>
        </w:rPr>
        <w:t>设备仪器验收Check sheet</w:t>
      </w:r>
    </w:p>
    <w:p w14:paraId="09B9F862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/>
        <w:jc w:val="both"/>
        <w:rPr>
          <w:rFonts w:ascii="宋体" w:cs="宋体"/>
          <w:color w:val="000000"/>
          <w:kern w:val="0"/>
          <w:sz w:val="21"/>
          <w:szCs w:val="21"/>
        </w:rPr>
      </w:pPr>
      <w:r>
        <w:rPr>
          <w:rFonts w:hint="eastAsia" w:ascii="宋体" w:cs="宋体"/>
          <w:color w:val="000000"/>
          <w:kern w:val="0"/>
          <w:sz w:val="21"/>
          <w:szCs w:val="21"/>
        </w:rPr>
        <w:t xml:space="preserve">设备名称：打标机             </w:t>
      </w:r>
      <w:r>
        <w:rPr>
          <w:rFonts w:hint="eastAsia" w:ascii="宋体" w:cs="宋体"/>
          <w:color w:val="000000"/>
          <w:kern w:val="0"/>
        </w:rPr>
        <w:t xml:space="preserve">               </w:t>
      </w:r>
      <w:r>
        <w:rPr>
          <w:rFonts w:hint="eastAsia" w:ascii="宋体" w:cs="宋体"/>
          <w:color w:val="000000"/>
          <w:kern w:val="0"/>
          <w:szCs w:val="21"/>
        </w:rPr>
        <w:t xml:space="preserve"> </w:t>
      </w:r>
      <w:r>
        <w:rPr>
          <w:rFonts w:hint="eastAsia" w:ascii="宋体" w:cs="宋体"/>
          <w:color w:val="000000"/>
          <w:kern w:val="0"/>
          <w:sz w:val="21"/>
          <w:szCs w:val="21"/>
        </w:rPr>
        <w:t xml:space="preserve">                                                                </w:t>
      </w:r>
    </w:p>
    <w:tbl>
      <w:tblPr>
        <w:tblStyle w:val="6"/>
        <w:tblW w:w="142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2340"/>
        <w:gridCol w:w="5040"/>
        <w:gridCol w:w="1440"/>
        <w:gridCol w:w="1429"/>
        <w:gridCol w:w="2126"/>
      </w:tblGrid>
      <w:tr w14:paraId="6055D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</w:tcPr>
          <w:p w14:paraId="056D68AB">
            <w:pPr>
              <w:rPr>
                <w:color w:val="000000"/>
              </w:rPr>
            </w:pPr>
          </w:p>
        </w:tc>
        <w:tc>
          <w:tcPr>
            <w:tcW w:w="2340" w:type="dxa"/>
          </w:tcPr>
          <w:p w14:paraId="720B07BF">
            <w:pPr>
              <w:ind w:firstLine="525" w:firstLineChars="25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检验项目</w:t>
            </w:r>
          </w:p>
        </w:tc>
        <w:tc>
          <w:tcPr>
            <w:tcW w:w="5040" w:type="dxa"/>
          </w:tcPr>
          <w:p w14:paraId="6D345B4A">
            <w:pPr>
              <w:ind w:firstLine="1470" w:firstLineChars="70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内容及标准</w:t>
            </w:r>
          </w:p>
        </w:tc>
        <w:tc>
          <w:tcPr>
            <w:tcW w:w="1440" w:type="dxa"/>
          </w:tcPr>
          <w:p w14:paraId="6DC72F08">
            <w:pPr>
              <w:ind w:firstLine="105" w:firstLineChars="5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验收结果</w:t>
            </w:r>
          </w:p>
        </w:tc>
        <w:tc>
          <w:tcPr>
            <w:tcW w:w="1429" w:type="dxa"/>
          </w:tcPr>
          <w:p w14:paraId="684FB755">
            <w:pPr>
              <w:ind w:firstLine="315" w:firstLineChars="15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检验人</w:t>
            </w:r>
          </w:p>
        </w:tc>
        <w:tc>
          <w:tcPr>
            <w:tcW w:w="2126" w:type="dxa"/>
          </w:tcPr>
          <w:p w14:paraId="28D4BD29">
            <w:pPr>
              <w:ind w:firstLine="735" w:firstLineChars="35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备注</w:t>
            </w:r>
          </w:p>
        </w:tc>
      </w:tr>
      <w:tr w14:paraId="3A800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908" w:type="dxa"/>
            <w:vMerge w:val="restart"/>
          </w:tcPr>
          <w:p w14:paraId="451D1514">
            <w:pPr>
              <w:rPr>
                <w:color w:val="000000"/>
              </w:rPr>
            </w:pPr>
          </w:p>
          <w:p w14:paraId="0E510E98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Check sheet E</w:t>
            </w:r>
          </w:p>
          <w:p w14:paraId="37B55BB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生产操作</w:t>
            </w:r>
          </w:p>
          <w:p w14:paraId="1EA8A5F7">
            <w:pPr>
              <w:rPr>
                <w:color w:val="000000"/>
              </w:rPr>
            </w:pPr>
          </w:p>
        </w:tc>
        <w:tc>
          <w:tcPr>
            <w:tcW w:w="2340" w:type="dxa"/>
          </w:tcPr>
          <w:p w14:paraId="0B7FB6B2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站姿作业</w:t>
            </w:r>
          </w:p>
        </w:tc>
        <w:tc>
          <w:tcPr>
            <w:tcW w:w="5040" w:type="dxa"/>
          </w:tcPr>
          <w:p w14:paraId="4A92CFFC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工作台高度：850mm±10mm</w:t>
            </w:r>
          </w:p>
        </w:tc>
        <w:tc>
          <w:tcPr>
            <w:tcW w:w="1440" w:type="dxa"/>
          </w:tcPr>
          <w:p w14:paraId="2585F3C7">
            <w:pPr>
              <w:jc w:val="center"/>
              <w:rPr>
                <w:color w:val="000000"/>
              </w:rPr>
            </w:pPr>
          </w:p>
        </w:tc>
        <w:tc>
          <w:tcPr>
            <w:tcW w:w="1429" w:type="dxa"/>
          </w:tcPr>
          <w:p w14:paraId="3DDC7F63"/>
        </w:tc>
        <w:tc>
          <w:tcPr>
            <w:tcW w:w="2126" w:type="dxa"/>
          </w:tcPr>
          <w:p w14:paraId="7A2C03E6"/>
        </w:tc>
      </w:tr>
      <w:tr w14:paraId="32323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908" w:type="dxa"/>
            <w:vMerge w:val="continue"/>
          </w:tcPr>
          <w:p w14:paraId="0B30792B">
            <w:pPr>
              <w:rPr>
                <w:color w:val="000000"/>
              </w:rPr>
            </w:pPr>
          </w:p>
        </w:tc>
        <w:tc>
          <w:tcPr>
            <w:tcW w:w="2340" w:type="dxa"/>
          </w:tcPr>
          <w:p w14:paraId="154F6867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噪声影响</w:t>
            </w:r>
          </w:p>
        </w:tc>
        <w:tc>
          <w:tcPr>
            <w:tcW w:w="5040" w:type="dxa"/>
          </w:tcPr>
          <w:p w14:paraId="4FD7385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85db以下</w:t>
            </w:r>
          </w:p>
        </w:tc>
        <w:tc>
          <w:tcPr>
            <w:tcW w:w="1440" w:type="dxa"/>
          </w:tcPr>
          <w:p w14:paraId="0139CF7A">
            <w:pPr>
              <w:jc w:val="center"/>
              <w:rPr>
                <w:color w:val="000000"/>
              </w:rPr>
            </w:pPr>
          </w:p>
        </w:tc>
        <w:tc>
          <w:tcPr>
            <w:tcW w:w="1429" w:type="dxa"/>
          </w:tcPr>
          <w:p w14:paraId="7B63DE7F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</w:tcPr>
          <w:p w14:paraId="11E22F18">
            <w:pPr>
              <w:rPr>
                <w:color w:val="000000"/>
              </w:rPr>
            </w:pPr>
          </w:p>
        </w:tc>
      </w:tr>
      <w:tr w14:paraId="3394D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2D4A527B">
            <w:pPr>
              <w:rPr>
                <w:color w:val="000000"/>
              </w:rPr>
            </w:pPr>
          </w:p>
        </w:tc>
        <w:tc>
          <w:tcPr>
            <w:tcW w:w="2340" w:type="dxa"/>
          </w:tcPr>
          <w:p w14:paraId="4B32429A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人机交互界面</w:t>
            </w:r>
          </w:p>
        </w:tc>
        <w:tc>
          <w:tcPr>
            <w:tcW w:w="5040" w:type="dxa"/>
          </w:tcPr>
          <w:p w14:paraId="1B6662DC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人机交互，各个过程有醒目提示及帮助信息；界面操作灵敏、准确、方便</w:t>
            </w:r>
          </w:p>
        </w:tc>
        <w:tc>
          <w:tcPr>
            <w:tcW w:w="1440" w:type="dxa"/>
          </w:tcPr>
          <w:p w14:paraId="2670CDAD">
            <w:pPr>
              <w:rPr>
                <w:color w:val="000000"/>
              </w:rPr>
            </w:pPr>
          </w:p>
        </w:tc>
        <w:tc>
          <w:tcPr>
            <w:tcW w:w="1429" w:type="dxa"/>
          </w:tcPr>
          <w:p w14:paraId="4A98FD88">
            <w:pPr>
              <w:rPr>
                <w:color w:val="000000"/>
              </w:rPr>
            </w:pPr>
          </w:p>
        </w:tc>
        <w:tc>
          <w:tcPr>
            <w:tcW w:w="2126" w:type="dxa"/>
          </w:tcPr>
          <w:p w14:paraId="079EB8E1">
            <w:pPr>
              <w:rPr>
                <w:color w:val="000000"/>
              </w:rPr>
            </w:pPr>
          </w:p>
        </w:tc>
      </w:tr>
    </w:tbl>
    <w:p w14:paraId="55226D96">
      <w:pPr>
        <w:rPr>
          <w:color w:val="000000"/>
        </w:rPr>
      </w:pPr>
      <w:r>
        <w:rPr>
          <w:rFonts w:hint="eastAsia"/>
          <w:color w:val="000000"/>
        </w:rPr>
        <w:t>核准:                                        审核:                                            制表:</w:t>
      </w:r>
    </w:p>
    <w:sectPr>
      <w:footerReference r:id="rId3" w:type="default"/>
      <w:footerReference r:id="rId4" w:type="even"/>
      <w:pgSz w:w="16838" w:h="11906" w:orient="landscape"/>
      <w:pgMar w:top="284" w:right="1440" w:bottom="1869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A71E1">
    <w:pPr>
      <w:pStyle w:val="4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8</w:t>
    </w:r>
    <w:r>
      <w:fldChar w:fldCharType="end"/>
    </w:r>
  </w:p>
  <w:p w14:paraId="1AD3A180">
    <w:pPr>
      <w:ind w:right="400"/>
      <w:jc w:val="center"/>
      <w:rPr>
        <w:rFonts w:ascii="宋体" w:hAnsi="宋体" w:cs="宋体"/>
        <w:sz w:val="20"/>
        <w:szCs w:val="20"/>
      </w:rPr>
    </w:pPr>
    <w:r>
      <w:rPr>
        <w:rFonts w:hint="eastAsia"/>
        <w:sz w:val="20"/>
        <w:szCs w:val="20"/>
      </w:rPr>
      <w:t xml:space="preserve">       表单编号：QT-FM-ENG-100014               版本：A2              生效日期：2014-5-21</w:t>
    </w:r>
  </w:p>
  <w:p w14:paraId="7A734281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BD897">
    <w:pPr>
      <w:pStyle w:val="4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5439B4BC">
    <w:pPr>
      <w:pStyle w:val="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CA820F"/>
    <w:multiLevelType w:val="singleLevel"/>
    <w:tmpl w:val="82CA820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0D009D26"/>
    <w:multiLevelType w:val="singleLevel"/>
    <w:tmpl w:val="0D009D26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362A2567"/>
    <w:multiLevelType w:val="multilevel"/>
    <w:tmpl w:val="362A256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F567630"/>
    <w:multiLevelType w:val="multilevel"/>
    <w:tmpl w:val="3F56763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AD0"/>
    <w:rsid w:val="000003E5"/>
    <w:rsid w:val="00003FAF"/>
    <w:rsid w:val="00007240"/>
    <w:rsid w:val="00007414"/>
    <w:rsid w:val="0001260F"/>
    <w:rsid w:val="00012C83"/>
    <w:rsid w:val="000175DD"/>
    <w:rsid w:val="00025DF0"/>
    <w:rsid w:val="00031A21"/>
    <w:rsid w:val="000402E1"/>
    <w:rsid w:val="0004799E"/>
    <w:rsid w:val="0005083F"/>
    <w:rsid w:val="00061BD2"/>
    <w:rsid w:val="000A3A84"/>
    <w:rsid w:val="000A5AC9"/>
    <w:rsid w:val="000A65F9"/>
    <w:rsid w:val="000B046E"/>
    <w:rsid w:val="000B20D4"/>
    <w:rsid w:val="000E79F0"/>
    <w:rsid w:val="000F41C5"/>
    <w:rsid w:val="00123EF6"/>
    <w:rsid w:val="00126833"/>
    <w:rsid w:val="00132F4E"/>
    <w:rsid w:val="001515DC"/>
    <w:rsid w:val="00163F9C"/>
    <w:rsid w:val="00167F55"/>
    <w:rsid w:val="001758C9"/>
    <w:rsid w:val="001775D9"/>
    <w:rsid w:val="001A14C6"/>
    <w:rsid w:val="001A22C8"/>
    <w:rsid w:val="001B6C86"/>
    <w:rsid w:val="001B788D"/>
    <w:rsid w:val="001D6C3C"/>
    <w:rsid w:val="001E6CC3"/>
    <w:rsid w:val="001E7E52"/>
    <w:rsid w:val="001F0176"/>
    <w:rsid w:val="00201D9F"/>
    <w:rsid w:val="00207633"/>
    <w:rsid w:val="002249A3"/>
    <w:rsid w:val="0023125A"/>
    <w:rsid w:val="0023534A"/>
    <w:rsid w:val="002403B4"/>
    <w:rsid w:val="00251804"/>
    <w:rsid w:val="00273D68"/>
    <w:rsid w:val="00280FFA"/>
    <w:rsid w:val="00290D25"/>
    <w:rsid w:val="002B2FEE"/>
    <w:rsid w:val="002C6CDF"/>
    <w:rsid w:val="002C7A14"/>
    <w:rsid w:val="002D0795"/>
    <w:rsid w:val="002D410D"/>
    <w:rsid w:val="002E51A1"/>
    <w:rsid w:val="002F114D"/>
    <w:rsid w:val="002F349D"/>
    <w:rsid w:val="002F79B0"/>
    <w:rsid w:val="00302E2E"/>
    <w:rsid w:val="00311BFA"/>
    <w:rsid w:val="003648A0"/>
    <w:rsid w:val="00371E51"/>
    <w:rsid w:val="00384CE5"/>
    <w:rsid w:val="00384F7A"/>
    <w:rsid w:val="003A3234"/>
    <w:rsid w:val="003C7311"/>
    <w:rsid w:val="003D5917"/>
    <w:rsid w:val="003D7451"/>
    <w:rsid w:val="003E497E"/>
    <w:rsid w:val="003E7941"/>
    <w:rsid w:val="00400219"/>
    <w:rsid w:val="004171C2"/>
    <w:rsid w:val="00420235"/>
    <w:rsid w:val="00421B86"/>
    <w:rsid w:val="00422C37"/>
    <w:rsid w:val="00426103"/>
    <w:rsid w:val="004419BE"/>
    <w:rsid w:val="0044577F"/>
    <w:rsid w:val="00446CF6"/>
    <w:rsid w:val="00470122"/>
    <w:rsid w:val="0047295D"/>
    <w:rsid w:val="00475F28"/>
    <w:rsid w:val="00480AE7"/>
    <w:rsid w:val="0048360F"/>
    <w:rsid w:val="00487974"/>
    <w:rsid w:val="004B76FB"/>
    <w:rsid w:val="004C08F7"/>
    <w:rsid w:val="004C6384"/>
    <w:rsid w:val="004D01CD"/>
    <w:rsid w:val="004E4FE5"/>
    <w:rsid w:val="004E59CD"/>
    <w:rsid w:val="004F2493"/>
    <w:rsid w:val="004F30C7"/>
    <w:rsid w:val="00500AD6"/>
    <w:rsid w:val="005057E6"/>
    <w:rsid w:val="005157C3"/>
    <w:rsid w:val="005355D4"/>
    <w:rsid w:val="00536C5B"/>
    <w:rsid w:val="0053771A"/>
    <w:rsid w:val="00546547"/>
    <w:rsid w:val="00560B76"/>
    <w:rsid w:val="00567EE1"/>
    <w:rsid w:val="00571303"/>
    <w:rsid w:val="005823E8"/>
    <w:rsid w:val="00582876"/>
    <w:rsid w:val="005A404B"/>
    <w:rsid w:val="005A7111"/>
    <w:rsid w:val="005B0FA6"/>
    <w:rsid w:val="005B3FDD"/>
    <w:rsid w:val="005C4ACF"/>
    <w:rsid w:val="005D1220"/>
    <w:rsid w:val="006041EF"/>
    <w:rsid w:val="00607BA7"/>
    <w:rsid w:val="00616ED4"/>
    <w:rsid w:val="00632EE4"/>
    <w:rsid w:val="00665EFF"/>
    <w:rsid w:val="00671F4F"/>
    <w:rsid w:val="00673E63"/>
    <w:rsid w:val="00680698"/>
    <w:rsid w:val="00685B6C"/>
    <w:rsid w:val="00692FC8"/>
    <w:rsid w:val="006A0D69"/>
    <w:rsid w:val="006A53B4"/>
    <w:rsid w:val="006C46FD"/>
    <w:rsid w:val="006C6C7A"/>
    <w:rsid w:val="006D5A8F"/>
    <w:rsid w:val="006E07AD"/>
    <w:rsid w:val="006E6A19"/>
    <w:rsid w:val="006E72D8"/>
    <w:rsid w:val="00704593"/>
    <w:rsid w:val="00712311"/>
    <w:rsid w:val="00723170"/>
    <w:rsid w:val="00723CCA"/>
    <w:rsid w:val="00724869"/>
    <w:rsid w:val="00730155"/>
    <w:rsid w:val="007411A6"/>
    <w:rsid w:val="00742A95"/>
    <w:rsid w:val="0078569A"/>
    <w:rsid w:val="00797AFB"/>
    <w:rsid w:val="007C2204"/>
    <w:rsid w:val="007C2454"/>
    <w:rsid w:val="007D0432"/>
    <w:rsid w:val="007E41E1"/>
    <w:rsid w:val="007E6AF4"/>
    <w:rsid w:val="007F3851"/>
    <w:rsid w:val="007F41B0"/>
    <w:rsid w:val="007F4A01"/>
    <w:rsid w:val="00805369"/>
    <w:rsid w:val="00814AD0"/>
    <w:rsid w:val="00817512"/>
    <w:rsid w:val="00821895"/>
    <w:rsid w:val="00833FE5"/>
    <w:rsid w:val="00843941"/>
    <w:rsid w:val="00847FAA"/>
    <w:rsid w:val="00872302"/>
    <w:rsid w:val="008771E7"/>
    <w:rsid w:val="00881A06"/>
    <w:rsid w:val="008935A0"/>
    <w:rsid w:val="008A74DD"/>
    <w:rsid w:val="008A7974"/>
    <w:rsid w:val="008B05A8"/>
    <w:rsid w:val="008B4DB9"/>
    <w:rsid w:val="008D09E8"/>
    <w:rsid w:val="008D250F"/>
    <w:rsid w:val="008D6562"/>
    <w:rsid w:val="008F690F"/>
    <w:rsid w:val="00901E04"/>
    <w:rsid w:val="00910728"/>
    <w:rsid w:val="00910F69"/>
    <w:rsid w:val="00925AB6"/>
    <w:rsid w:val="00962D76"/>
    <w:rsid w:val="00962DD3"/>
    <w:rsid w:val="00963735"/>
    <w:rsid w:val="00964F9B"/>
    <w:rsid w:val="00965749"/>
    <w:rsid w:val="00966D7E"/>
    <w:rsid w:val="0098001B"/>
    <w:rsid w:val="0098645D"/>
    <w:rsid w:val="00990C55"/>
    <w:rsid w:val="009B5B36"/>
    <w:rsid w:val="009B7F11"/>
    <w:rsid w:val="009E0988"/>
    <w:rsid w:val="009E42D1"/>
    <w:rsid w:val="009E6E44"/>
    <w:rsid w:val="009F02F4"/>
    <w:rsid w:val="00A018CF"/>
    <w:rsid w:val="00A02717"/>
    <w:rsid w:val="00A23E90"/>
    <w:rsid w:val="00A24921"/>
    <w:rsid w:val="00A271C0"/>
    <w:rsid w:val="00A312FA"/>
    <w:rsid w:val="00A6757D"/>
    <w:rsid w:val="00A70120"/>
    <w:rsid w:val="00A74484"/>
    <w:rsid w:val="00A77033"/>
    <w:rsid w:val="00A91A7C"/>
    <w:rsid w:val="00A965B9"/>
    <w:rsid w:val="00AA5B96"/>
    <w:rsid w:val="00AA63BD"/>
    <w:rsid w:val="00AA78BE"/>
    <w:rsid w:val="00AC6B8B"/>
    <w:rsid w:val="00AD310D"/>
    <w:rsid w:val="00AD5FD8"/>
    <w:rsid w:val="00AF6587"/>
    <w:rsid w:val="00B03E9A"/>
    <w:rsid w:val="00B07089"/>
    <w:rsid w:val="00B163C7"/>
    <w:rsid w:val="00B2273C"/>
    <w:rsid w:val="00B22979"/>
    <w:rsid w:val="00B25893"/>
    <w:rsid w:val="00B32553"/>
    <w:rsid w:val="00B33D9C"/>
    <w:rsid w:val="00B35207"/>
    <w:rsid w:val="00B44BF9"/>
    <w:rsid w:val="00B45823"/>
    <w:rsid w:val="00B5033B"/>
    <w:rsid w:val="00B5125C"/>
    <w:rsid w:val="00B51DA6"/>
    <w:rsid w:val="00B526DE"/>
    <w:rsid w:val="00B532B7"/>
    <w:rsid w:val="00B6702E"/>
    <w:rsid w:val="00B7118F"/>
    <w:rsid w:val="00B729E0"/>
    <w:rsid w:val="00B76076"/>
    <w:rsid w:val="00B963F6"/>
    <w:rsid w:val="00B96BE2"/>
    <w:rsid w:val="00BA08A7"/>
    <w:rsid w:val="00BB3BBF"/>
    <w:rsid w:val="00BD26CA"/>
    <w:rsid w:val="00BD4730"/>
    <w:rsid w:val="00BE09A9"/>
    <w:rsid w:val="00BE12B1"/>
    <w:rsid w:val="00BF5389"/>
    <w:rsid w:val="00BF6A43"/>
    <w:rsid w:val="00C01ED3"/>
    <w:rsid w:val="00C175E4"/>
    <w:rsid w:val="00C236AC"/>
    <w:rsid w:val="00C26CC1"/>
    <w:rsid w:val="00C354DB"/>
    <w:rsid w:val="00C45750"/>
    <w:rsid w:val="00C6253E"/>
    <w:rsid w:val="00C666D5"/>
    <w:rsid w:val="00C74492"/>
    <w:rsid w:val="00C7769F"/>
    <w:rsid w:val="00C81B94"/>
    <w:rsid w:val="00C8511C"/>
    <w:rsid w:val="00C85AF5"/>
    <w:rsid w:val="00CA15C5"/>
    <w:rsid w:val="00CD0EAA"/>
    <w:rsid w:val="00CF5A80"/>
    <w:rsid w:val="00CF6B82"/>
    <w:rsid w:val="00D05D80"/>
    <w:rsid w:val="00D108CF"/>
    <w:rsid w:val="00D233E0"/>
    <w:rsid w:val="00D2546E"/>
    <w:rsid w:val="00D306F7"/>
    <w:rsid w:val="00D31709"/>
    <w:rsid w:val="00D34377"/>
    <w:rsid w:val="00D743F4"/>
    <w:rsid w:val="00D76AAC"/>
    <w:rsid w:val="00D90142"/>
    <w:rsid w:val="00D93229"/>
    <w:rsid w:val="00D97A2E"/>
    <w:rsid w:val="00DA3C51"/>
    <w:rsid w:val="00DB312F"/>
    <w:rsid w:val="00DB6FDC"/>
    <w:rsid w:val="00DB7C05"/>
    <w:rsid w:val="00DE0427"/>
    <w:rsid w:val="00DF1C14"/>
    <w:rsid w:val="00DF29F0"/>
    <w:rsid w:val="00E00D66"/>
    <w:rsid w:val="00E21572"/>
    <w:rsid w:val="00E31AE6"/>
    <w:rsid w:val="00E340D9"/>
    <w:rsid w:val="00E3719C"/>
    <w:rsid w:val="00E51CD7"/>
    <w:rsid w:val="00E64D57"/>
    <w:rsid w:val="00E65DDE"/>
    <w:rsid w:val="00E934BB"/>
    <w:rsid w:val="00EA2CEA"/>
    <w:rsid w:val="00EA4BE8"/>
    <w:rsid w:val="00EC7B98"/>
    <w:rsid w:val="00ED0711"/>
    <w:rsid w:val="00ED0A24"/>
    <w:rsid w:val="00ED1806"/>
    <w:rsid w:val="00EE03E1"/>
    <w:rsid w:val="00EE1E50"/>
    <w:rsid w:val="00F210A8"/>
    <w:rsid w:val="00F21AE8"/>
    <w:rsid w:val="00F6312B"/>
    <w:rsid w:val="00F71746"/>
    <w:rsid w:val="00F81964"/>
    <w:rsid w:val="00F90D80"/>
    <w:rsid w:val="00F96906"/>
    <w:rsid w:val="00FA4B35"/>
    <w:rsid w:val="00FB5BCD"/>
    <w:rsid w:val="00FC6C68"/>
    <w:rsid w:val="00FF06ED"/>
    <w:rsid w:val="00FF306F"/>
    <w:rsid w:val="00FF5E2B"/>
    <w:rsid w:val="02D92666"/>
    <w:rsid w:val="047D1717"/>
    <w:rsid w:val="07605D41"/>
    <w:rsid w:val="09524F20"/>
    <w:rsid w:val="098350DA"/>
    <w:rsid w:val="0AB61D52"/>
    <w:rsid w:val="0AE61DC4"/>
    <w:rsid w:val="0B2226D0"/>
    <w:rsid w:val="0D365943"/>
    <w:rsid w:val="0E636419"/>
    <w:rsid w:val="0FDA5C70"/>
    <w:rsid w:val="11254CC9"/>
    <w:rsid w:val="176F3141"/>
    <w:rsid w:val="18D20894"/>
    <w:rsid w:val="19A97F41"/>
    <w:rsid w:val="1D4B77BC"/>
    <w:rsid w:val="1D954F84"/>
    <w:rsid w:val="1DC615E1"/>
    <w:rsid w:val="1E430E84"/>
    <w:rsid w:val="27562362"/>
    <w:rsid w:val="28081174"/>
    <w:rsid w:val="290A0DAD"/>
    <w:rsid w:val="2EBB3162"/>
    <w:rsid w:val="320B7BFA"/>
    <w:rsid w:val="330B46AE"/>
    <w:rsid w:val="3329254E"/>
    <w:rsid w:val="33C56533"/>
    <w:rsid w:val="34BA37F6"/>
    <w:rsid w:val="350607E9"/>
    <w:rsid w:val="3B1740CE"/>
    <w:rsid w:val="428611BC"/>
    <w:rsid w:val="4A195CA9"/>
    <w:rsid w:val="4A4D25BF"/>
    <w:rsid w:val="4BA95F1B"/>
    <w:rsid w:val="4C5E6D05"/>
    <w:rsid w:val="523636CC"/>
    <w:rsid w:val="53DC50DF"/>
    <w:rsid w:val="57C20AC5"/>
    <w:rsid w:val="58873140"/>
    <w:rsid w:val="59B368E2"/>
    <w:rsid w:val="5EE33737"/>
    <w:rsid w:val="61A22D98"/>
    <w:rsid w:val="635F3637"/>
    <w:rsid w:val="66E04A8F"/>
    <w:rsid w:val="68E63EB3"/>
    <w:rsid w:val="69A91168"/>
    <w:rsid w:val="6A3A44B6"/>
    <w:rsid w:val="6EE42C42"/>
    <w:rsid w:val="7CD8003E"/>
    <w:rsid w:val="7FEB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iPriority="99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1"/>
    <w:unhideWhenUsed/>
    <w:qFormat/>
    <w:uiPriority w:val="99"/>
    <w:pPr>
      <w:jc w:val="left"/>
    </w:pPr>
    <w:rPr>
      <w:rFonts w:ascii="Calibri" w:hAnsi="Courier New" w:cs="Courier New"/>
      <w:szCs w:val="21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paragraph" w:customStyle="1" w:styleId="10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1">
    <w:name w:val="纯文本 字符"/>
    <w:basedOn w:val="8"/>
    <w:link w:val="2"/>
    <w:qFormat/>
    <w:uiPriority w:val="99"/>
    <w:rPr>
      <w:rFonts w:ascii="Calibri" w:hAnsi="Courier New" w:cs="Courier New"/>
      <w:kern w:val="2"/>
      <w:sz w:val="21"/>
      <w:szCs w:val="21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等线" w:cs="宋体"/>
      <w:color w:val="000000"/>
      <w:sz w:val="24"/>
      <w:szCs w:val="24"/>
      <w:lang w:val="en-US" w:eastAsia="zh-CN" w:bidi="ar-SA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3457</Words>
  <Characters>4261</Characters>
  <Lines>41</Lines>
  <Paragraphs>11</Paragraphs>
  <TotalTime>34</TotalTime>
  <ScaleCrop>false</ScaleCrop>
  <LinksUpToDate>false</LinksUpToDate>
  <CharactersWithSpaces>5407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2026-04-23T08:13:00Z</dcterms:created>
  <dc:creator>walkinnet</dc:creator>
  <cp:lastModifiedBy>小海</cp:lastModifiedBy>
  <cp:lastPrinted>2026-04-29T13:23:00Z</cp:lastPrinted>
  <dcterms:modified xsi:type="dcterms:W3CDTF">2026-05-26T01:03:55Z</dcterms:modified>
  <dc:title>昆山西钛微电子科技有限公司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eyJoZGlkIjoiMWM4MmVkOTA1MjFjYzMwZWNmZGFhODliZDBjZWU4YWMiLCJ1c2VySWQiOiIxMTQzMDIwNDU2In0=</vt:lpwstr>
  </property>
  <property fmtid="{D5CDD505-2E9C-101B-9397-08002B2CF9AE}" pid="4" name="ICV">
    <vt:lpwstr>5EECC3161D65492788399C309C36C9DB_12</vt:lpwstr>
  </property>
</Properties>
</file>